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EB2" w:rsidRDefault="004B7C19">
      <w:pPr>
        <w:pStyle w:val="CRCoverPage"/>
        <w:tabs>
          <w:tab w:val="right" w:pos="9639"/>
        </w:tabs>
        <w:spacing w:before="120" w:after="0"/>
        <w:rPr>
          <w:rFonts w:ascii="Times New Roman" w:hAnsi="Times New Roman"/>
          <w:b/>
          <w:sz w:val="24"/>
          <w:lang w:eastAsia="zh-CN"/>
        </w:rPr>
      </w:pPr>
      <w:bookmarkStart w:id="0" w:name="_Toc92513360"/>
      <w:bookmarkStart w:id="1" w:name="_Ref399006623"/>
      <w:r>
        <w:rPr>
          <w:rFonts w:ascii="Times New Roman" w:hAnsi="Times New Roman"/>
          <w:b/>
          <w:bCs/>
          <w:sz w:val="24"/>
          <w:lang w:eastAsia="zh-CN"/>
        </w:rPr>
        <w:t>3GPP</w:t>
      </w:r>
      <w:r>
        <w:rPr>
          <w:rFonts w:ascii="Times New Roman" w:hAnsi="Times New Roman"/>
          <w:b/>
          <w:sz w:val="24"/>
          <w:szCs w:val="24"/>
        </w:rPr>
        <w:t xml:space="preserve"> TSG-</w:t>
      </w:r>
      <w:bookmarkStart w:id="2" w:name="OLE_LINK198"/>
      <w:bookmarkStart w:id="3" w:name="OLE_LINK199"/>
      <w:r>
        <w:rPr>
          <w:rFonts w:ascii="Times New Roman" w:hAnsi="Times New Roman"/>
          <w:b/>
          <w:sz w:val="24"/>
          <w:szCs w:val="24"/>
        </w:rPr>
        <w:t>RAN WG2 Meeting</w:t>
      </w:r>
      <w:bookmarkEnd w:id="2"/>
      <w:bookmarkEnd w:id="3"/>
      <w:r>
        <w:rPr>
          <w:rFonts w:ascii="Times New Roman" w:hAnsi="Times New Roman"/>
          <w:b/>
          <w:sz w:val="24"/>
          <w:szCs w:val="24"/>
        </w:rPr>
        <w:t xml:space="preserve"> #120</w:t>
      </w:r>
      <w:r>
        <w:rPr>
          <w:rFonts w:ascii="Times New Roman" w:hAnsi="Times New Roman"/>
          <w:b/>
          <w:sz w:val="24"/>
        </w:rPr>
        <w:t xml:space="preserve">          </w:t>
      </w:r>
      <w:r>
        <w:rPr>
          <w:rFonts w:ascii="Times New Roman" w:hAnsi="Times New Roman"/>
          <w:b/>
          <w:sz w:val="24"/>
        </w:rPr>
        <w:tab/>
        <w:t xml:space="preserve">          </w:t>
      </w:r>
      <w:r>
        <w:rPr>
          <w:rFonts w:ascii="Times New Roman" w:eastAsia="Malgun Gothic" w:hAnsi="Times New Roman"/>
          <w:b/>
          <w:bCs/>
          <w:sz w:val="24"/>
          <w:szCs w:val="24"/>
          <w:lang w:eastAsia="zh-CN"/>
        </w:rPr>
        <w:t>R2-22</w:t>
      </w:r>
      <w:r w:rsidR="0058672F">
        <w:rPr>
          <w:rFonts w:ascii="Times New Roman" w:eastAsia="Malgun Gothic" w:hAnsi="Times New Roman"/>
          <w:b/>
          <w:bCs/>
          <w:sz w:val="24"/>
          <w:szCs w:val="24"/>
          <w:lang w:eastAsia="zh-CN"/>
        </w:rPr>
        <w:t>12224</w:t>
      </w:r>
    </w:p>
    <w:p w:rsidR="00D12EB2" w:rsidRDefault="004B7C19">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de-DE" w:eastAsia="zh-CN"/>
        </w:rPr>
        <w:t>Toulouse, France, 14</w:t>
      </w:r>
      <w:r>
        <w:rPr>
          <w:rFonts w:ascii="Times New Roman" w:hAnsi="Times New Roman"/>
          <w:b/>
          <w:sz w:val="24"/>
          <w:vertAlign w:val="superscript"/>
          <w:lang w:val="de-DE" w:eastAsia="zh-CN"/>
        </w:rPr>
        <w:t>th</w:t>
      </w:r>
      <w:r>
        <w:rPr>
          <w:rFonts w:ascii="Times New Roman" w:hAnsi="Times New Roman"/>
          <w:b/>
          <w:sz w:val="24"/>
          <w:lang w:val="de-DE" w:eastAsia="zh-CN"/>
        </w:rPr>
        <w:t xml:space="preserve"> – 18</w:t>
      </w:r>
      <w:r>
        <w:rPr>
          <w:rFonts w:ascii="Times New Roman" w:hAnsi="Times New Roman"/>
          <w:b/>
          <w:sz w:val="24"/>
          <w:vertAlign w:val="superscript"/>
          <w:lang w:val="de-DE" w:eastAsia="zh-CN"/>
        </w:rPr>
        <w:t>th</w:t>
      </w:r>
      <w:r>
        <w:rPr>
          <w:rFonts w:ascii="Times New Roman" w:hAnsi="Times New Roman"/>
          <w:b/>
          <w:sz w:val="24"/>
          <w:lang w:val="de-DE" w:eastAsia="zh-CN"/>
        </w:rPr>
        <w:t xml:space="preserve"> November, 2022</w:t>
      </w:r>
    </w:p>
    <w:p w:rsidR="00D12EB2" w:rsidRDefault="00D12EB2">
      <w:pPr>
        <w:pStyle w:val="CRCoverPage"/>
        <w:tabs>
          <w:tab w:val="right" w:pos="9639"/>
        </w:tabs>
        <w:spacing w:before="120" w:after="0"/>
        <w:rPr>
          <w:rFonts w:ascii="Times New Roman" w:hAnsi="Times New Roman"/>
          <w:b/>
          <w:sz w:val="22"/>
        </w:rPr>
      </w:pPr>
    </w:p>
    <w:p w:rsidR="00D12EB2" w:rsidRDefault="004B7C19">
      <w:pPr>
        <w:tabs>
          <w:tab w:val="left" w:pos="1985"/>
        </w:tabs>
        <w:rPr>
          <w:b/>
          <w:sz w:val="22"/>
        </w:rPr>
      </w:pPr>
      <w:r>
        <w:rPr>
          <w:b/>
          <w:sz w:val="22"/>
        </w:rPr>
        <w:t>Agen</w:t>
      </w:r>
      <w:r>
        <w:rPr>
          <w:b/>
          <w:sz w:val="22"/>
        </w:rPr>
        <w:t>d</w:t>
      </w:r>
      <w:r>
        <w:rPr>
          <w:b/>
          <w:sz w:val="22"/>
        </w:rPr>
        <w:t>a Item:</w:t>
      </w:r>
      <w:r>
        <w:rPr>
          <w:sz w:val="22"/>
        </w:rPr>
        <w:tab/>
      </w:r>
      <w:r>
        <w:rPr>
          <w:sz w:val="22"/>
        </w:rPr>
        <w:t>8.13.8</w:t>
      </w:r>
    </w:p>
    <w:p w:rsidR="00D12EB2" w:rsidRDefault="004B7C19">
      <w:pPr>
        <w:tabs>
          <w:tab w:val="left" w:pos="1985"/>
        </w:tabs>
        <w:rPr>
          <w:b/>
          <w:sz w:val="22"/>
        </w:rPr>
      </w:pPr>
      <w:r>
        <w:rPr>
          <w:b/>
          <w:sz w:val="22"/>
        </w:rPr>
        <w:t xml:space="preserve">Source: </w:t>
      </w:r>
      <w:r>
        <w:rPr>
          <w:b/>
          <w:sz w:val="22"/>
        </w:rPr>
        <w:tab/>
      </w:r>
      <w:r>
        <w:rPr>
          <w:sz w:val="22"/>
        </w:rPr>
        <w:t>Huawei</w:t>
      </w:r>
      <w:r>
        <w:rPr>
          <w:sz w:val="22"/>
        </w:rPr>
        <w:t>, HiSilicon</w:t>
      </w:r>
    </w:p>
    <w:p w:rsidR="00D12EB2" w:rsidRDefault="004B7C19">
      <w:pPr>
        <w:ind w:left="1985" w:hanging="1985"/>
        <w:rPr>
          <w:sz w:val="22"/>
        </w:rPr>
      </w:pPr>
      <w:r>
        <w:rPr>
          <w:b/>
          <w:sz w:val="22"/>
        </w:rPr>
        <w:t>Title:</w:t>
      </w:r>
      <w:r>
        <w:rPr>
          <w:sz w:val="22"/>
        </w:rPr>
        <w:t xml:space="preserve"> </w:t>
      </w:r>
      <w:r>
        <w:rPr>
          <w:sz w:val="22"/>
        </w:rPr>
        <w:tab/>
        <w:t>Discussion on MRO other aspects</w:t>
      </w:r>
    </w:p>
    <w:p w:rsidR="00D12EB2" w:rsidRDefault="004B7C19">
      <w:pPr>
        <w:tabs>
          <w:tab w:val="left" w:pos="1985"/>
        </w:tabs>
        <w:rPr>
          <w:sz w:val="22"/>
        </w:rPr>
      </w:pPr>
      <w:r>
        <w:rPr>
          <w:b/>
          <w:sz w:val="22"/>
        </w:rPr>
        <w:t>Document for:</w:t>
      </w:r>
      <w:r>
        <w:rPr>
          <w:sz w:val="22"/>
        </w:rPr>
        <w:tab/>
      </w:r>
      <w:bookmarkEnd w:id="0"/>
      <w:bookmarkEnd w:id="1"/>
      <w:r>
        <w:rPr>
          <w:sz w:val="22"/>
        </w:rPr>
        <w:t>Discussion and decision</w:t>
      </w:r>
    </w:p>
    <w:p w:rsidR="00D12EB2" w:rsidRDefault="004B7C19">
      <w:pPr>
        <w:pStyle w:val="1"/>
        <w:rPr>
          <w:rFonts w:ascii="Times New Roman" w:hAnsi="Times New Roman"/>
        </w:rPr>
      </w:pPr>
      <w:r>
        <w:rPr>
          <w:rFonts w:ascii="Times New Roman" w:hAnsi="Times New Roman"/>
        </w:rPr>
        <w:t>Introduction</w:t>
      </w:r>
    </w:p>
    <w:p w:rsidR="00D12EB2" w:rsidRDefault="004B7C19">
      <w:r>
        <w:rPr>
          <w:rFonts w:hint="eastAsia"/>
        </w:rPr>
        <w:t>I</w:t>
      </w:r>
      <w:r>
        <w:t xml:space="preserve">n </w:t>
      </w:r>
      <w:r>
        <w:t>RAN2#119 e</w:t>
      </w:r>
      <w:r>
        <w:rPr>
          <w:rFonts w:hint="eastAsia"/>
        </w:rPr>
        <w:t>-</w:t>
      </w:r>
      <w:r>
        <w:t>meeting</w:t>
      </w:r>
      <w:r>
        <w:rPr>
          <w:rFonts w:hint="eastAsia"/>
        </w:rPr>
        <w:t>,</w:t>
      </w:r>
      <w:r>
        <w:t xml:space="preserve"> an agreement regarding MRO for CPAC has been achieved</w:t>
      </w:r>
      <w:r>
        <w:rPr>
          <w:rFonts w:hint="eastAsia"/>
        </w:rPr>
        <w:t>：</w:t>
      </w:r>
    </w:p>
    <w:p w:rsidR="00D12EB2" w:rsidRDefault="004B7C19">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rsidR="00D12EB2" w:rsidRDefault="004B7C19">
      <w:pPr>
        <w:pStyle w:val="Doc-text2"/>
        <w:pBdr>
          <w:top w:val="single" w:sz="4" w:space="1" w:color="auto"/>
          <w:left w:val="single" w:sz="4" w:space="4" w:color="auto"/>
          <w:bottom w:val="single" w:sz="4" w:space="1" w:color="auto"/>
          <w:right w:val="single" w:sz="4" w:space="4" w:color="auto"/>
        </w:pBdr>
        <w:rPr>
          <w:lang w:val="en-US"/>
        </w:rPr>
      </w:pPr>
      <w:r>
        <w:rPr>
          <w:lang w:val="en-US"/>
        </w:rPr>
        <w:tab/>
        <w:t>For CPAC failure relevant MRO, RAN2 prioritize the discussion on NR-DC, while other scenarios can be further discussed if time permits.</w:t>
      </w:r>
    </w:p>
    <w:p w:rsidR="00D12EB2" w:rsidRDefault="00D12EB2"/>
    <w:p w:rsidR="00D12EB2" w:rsidRDefault="004B7C19">
      <w:pPr>
        <w:rPr>
          <w:rFonts w:eastAsia="Arial"/>
          <w:sz w:val="36"/>
        </w:rPr>
      </w:pPr>
      <w:r>
        <w:rPr>
          <w:rFonts w:hint="eastAsia"/>
        </w:rPr>
        <w:t>R</w:t>
      </w:r>
      <w:r>
        <w:t>AN2 has agreed to wait for RAN3</w:t>
      </w:r>
      <w:r>
        <w:t>’s progress on scenarios for further discussion on MRO for MR-DC SCG failure</w:t>
      </w:r>
      <w:r>
        <w:rPr>
          <w:rFonts w:hint="eastAsia"/>
        </w:rPr>
        <w:t>,</w:t>
      </w:r>
      <w:r>
        <w:t xml:space="preserve"> CPAC, fast MCG recovery</w:t>
      </w:r>
      <w:r>
        <w:rPr>
          <w:rFonts w:hint="eastAsia"/>
        </w:rPr>
        <w:t>.</w:t>
      </w:r>
    </w:p>
    <w:p w:rsidR="00D12EB2" w:rsidRDefault="004B7C19">
      <w:r>
        <w:rPr>
          <w:rFonts w:hint="eastAsia"/>
        </w:rPr>
        <w:t>In</w:t>
      </w:r>
      <w:r>
        <w:t xml:space="preserve"> RAN3</w:t>
      </w:r>
      <w:r>
        <w:rPr>
          <w:rFonts w:hint="eastAsia"/>
        </w:rPr>
        <w:t>#</w:t>
      </w:r>
      <w:r>
        <w:t>117bis-e meeting and RAN3</w:t>
      </w:r>
      <w:r>
        <w:rPr>
          <w:rFonts w:hint="eastAsia"/>
        </w:rPr>
        <w:t>#</w:t>
      </w:r>
      <w:r>
        <w:t>117-e meeting, there were some progresses on the scenarios to be studied for MRO with respect to MR-DC SCG failure</w:t>
      </w:r>
      <w:r>
        <w:rPr>
          <w:rFonts w:hint="eastAsia"/>
        </w:rPr>
        <w:t>,</w:t>
      </w:r>
      <w:r>
        <w:t xml:space="preserve"> CPA</w:t>
      </w:r>
      <w:r>
        <w:t xml:space="preserve">C, fast MCG recovery. </w:t>
      </w:r>
    </w:p>
    <w:p w:rsidR="00D12EB2" w:rsidRDefault="004B7C19">
      <w:r>
        <w:rPr>
          <w:rFonts w:hint="eastAsia"/>
        </w:rPr>
        <w:t>I</w:t>
      </w:r>
      <w:r>
        <w:t>n this paper, for the agreed scenarios, we will give some potential solutions. Meanwhile, we also prefer to give our considerations on more potential scenarios for the above SON features.</w:t>
      </w:r>
    </w:p>
    <w:p w:rsidR="00D12EB2" w:rsidRDefault="004B7C19">
      <w:pPr>
        <w:pStyle w:val="1"/>
        <w:pBdr>
          <w:top w:val="single" w:sz="12" w:space="2" w:color="auto"/>
        </w:pBdr>
        <w:rPr>
          <w:rFonts w:ascii="Times New Roman" w:eastAsia="宋体" w:hAnsi="Times New Roman"/>
        </w:rPr>
      </w:pPr>
      <w:r>
        <w:rPr>
          <w:rFonts w:ascii="Times New Roman" w:eastAsia="宋体" w:hAnsi="Times New Roman"/>
        </w:rPr>
        <w:t>Discussion</w:t>
      </w:r>
    </w:p>
    <w:p w:rsidR="00D12EB2" w:rsidRPr="007C41AF" w:rsidRDefault="004B7C19" w:rsidP="007C41AF">
      <w:pPr>
        <w:pStyle w:val="2"/>
      </w:pPr>
      <w:r w:rsidRPr="007C41AF">
        <w:t>MRO for MR-DC SCG failure</w:t>
      </w:r>
    </w:p>
    <w:p w:rsidR="00D12EB2" w:rsidRDefault="004B7C19">
      <w:pPr>
        <w:rPr>
          <w:rFonts w:ascii="Calibri" w:hAnsi="Calibri" w:cs="Calibri"/>
          <w:color w:val="000000"/>
          <w:sz w:val="18"/>
          <w:szCs w:val="18"/>
          <w:u w:val="single"/>
        </w:rPr>
      </w:pPr>
      <w:r>
        <w:rPr>
          <w:rFonts w:ascii="Calibri" w:hAnsi="Calibri" w:cs="Calibri"/>
          <w:color w:val="000000"/>
          <w:sz w:val="18"/>
          <w:szCs w:val="18"/>
          <w:u w:val="single"/>
        </w:rPr>
        <w:t>M</w:t>
      </w:r>
      <w:r>
        <w:rPr>
          <w:rFonts w:ascii="Calibri" w:hAnsi="Calibri" w:cs="Calibri"/>
          <w:color w:val="000000"/>
          <w:sz w:val="18"/>
          <w:szCs w:val="18"/>
          <w:u w:val="single"/>
        </w:rPr>
        <w:t>RO for</w:t>
      </w:r>
      <w:r>
        <w:rPr>
          <w:rFonts w:ascii="Calibri" w:hAnsi="Calibri" w:cs="Calibri"/>
          <w:color w:val="000000"/>
          <w:sz w:val="18"/>
          <w:szCs w:val="18"/>
          <w:u w:val="single"/>
        </w:rPr>
        <w:t xml:space="preserve"> MR-DC SCG failure</w:t>
      </w:r>
    </w:p>
    <w:p w:rsidR="00D12EB2" w:rsidRDefault="004B7C19">
      <w:pPr>
        <w:rPr>
          <w:rFonts w:ascii="Calibri" w:hAnsi="Calibri" w:cs="Calibri"/>
          <w:color w:val="000000"/>
          <w:sz w:val="18"/>
          <w:szCs w:val="18"/>
          <w:u w:val="single"/>
        </w:rPr>
      </w:pPr>
      <w:r>
        <w:t>RAN3</w:t>
      </w:r>
      <w:r>
        <w:rPr>
          <w:rFonts w:hint="eastAsia"/>
        </w:rPr>
        <w:t>#</w:t>
      </w:r>
      <w:r>
        <w:t>117bis:</w:t>
      </w:r>
    </w:p>
    <w:p w:rsidR="00D12EB2" w:rsidRDefault="004B7C19">
      <w:pPr>
        <w:rPr>
          <w:rFonts w:ascii="Calibri" w:eastAsia="等线" w:hAnsi="Calibri" w:cs="Calibri"/>
          <w:b/>
          <w:bCs/>
          <w:color w:val="008000"/>
          <w:sz w:val="18"/>
        </w:rPr>
      </w:pPr>
      <w:r>
        <w:rPr>
          <w:rFonts w:ascii="Calibri" w:eastAsia="等线" w:hAnsi="Calibri" w:cs="Calibri"/>
          <w:b/>
          <w:bCs/>
          <w:color w:val="008000"/>
          <w:sz w:val="18"/>
        </w:rPr>
        <w:t>For MRO for MR-DC SCG failure, deprioritize dual failure case (i.e. both MCG failure and SCG failure occur).</w:t>
      </w:r>
    </w:p>
    <w:p w:rsidR="00D12EB2" w:rsidRDefault="004B7C19">
      <w:pPr>
        <w:rPr>
          <w:rFonts w:ascii="Calibri" w:hAnsi="Calibri" w:cs="Calibri"/>
          <w:color w:val="000000"/>
          <w:sz w:val="18"/>
          <w:szCs w:val="18"/>
          <w:u w:val="single"/>
        </w:rPr>
      </w:pPr>
      <w:r>
        <w:t>RAN3</w:t>
      </w:r>
      <w:r>
        <w:rPr>
          <w:rFonts w:hint="eastAsia"/>
        </w:rPr>
        <w:t>#</w:t>
      </w:r>
      <w:r>
        <w:t>117:</w:t>
      </w:r>
    </w:p>
    <w:p w:rsidR="00D12EB2" w:rsidRDefault="004B7C19">
      <w:pPr>
        <w:rPr>
          <w:rFonts w:ascii="Calibri" w:eastAsia="等线" w:hAnsi="Calibri" w:cs="Calibri"/>
          <w:bCs/>
          <w:color w:val="008000"/>
          <w:sz w:val="18"/>
        </w:rPr>
      </w:pPr>
      <w:r>
        <w:rPr>
          <w:rFonts w:ascii="Calibri" w:eastAsia="等线" w:hAnsi="Calibri" w:cs="Calibri"/>
          <w:bCs/>
          <w:color w:val="008000"/>
          <w:sz w:val="18"/>
        </w:rPr>
        <w:t>Support MRO for SCG failure in EN-DC, NGEN-DC and NE-DC scenarios.</w:t>
      </w:r>
    </w:p>
    <w:p w:rsidR="00D12EB2" w:rsidRDefault="004B7C19">
      <w:pPr>
        <w:rPr>
          <w:rFonts w:ascii="Calibri" w:eastAsia="等线" w:hAnsi="Calibri" w:cs="Calibri"/>
          <w:bCs/>
          <w:color w:val="008000"/>
          <w:sz w:val="18"/>
        </w:rPr>
      </w:pPr>
      <w:r>
        <w:rPr>
          <w:rFonts w:ascii="Calibri" w:eastAsia="等线" w:hAnsi="Calibri" w:cs="Calibri"/>
          <w:bCs/>
          <w:color w:val="008000"/>
          <w:sz w:val="18"/>
        </w:rPr>
        <w:t xml:space="preserve">Take Stage 2 descriptions of PSCell </w:t>
      </w:r>
      <w:r>
        <w:rPr>
          <w:rFonts w:ascii="Calibri" w:eastAsia="等线" w:hAnsi="Calibri" w:cs="Calibri"/>
          <w:bCs/>
          <w:color w:val="008000"/>
          <w:sz w:val="18"/>
        </w:rPr>
        <w:t>change failure in TS37.340 as baseline for NE-DC SCG failure, and necessary updates can be added on top of it if needed.</w:t>
      </w:r>
    </w:p>
    <w:p w:rsidR="00D12EB2" w:rsidRDefault="004B7C19">
      <w:pPr>
        <w:rPr>
          <w:rFonts w:ascii="Calibri" w:eastAsia="等线" w:hAnsi="Calibri" w:cs="Calibri"/>
          <w:bCs/>
          <w:color w:val="008000"/>
          <w:sz w:val="18"/>
        </w:rPr>
      </w:pPr>
      <w:r>
        <w:rPr>
          <w:rFonts w:ascii="Calibri" w:eastAsia="等线" w:hAnsi="Calibri" w:cs="Calibri"/>
          <w:bCs/>
          <w:color w:val="008000"/>
          <w:sz w:val="18"/>
        </w:rPr>
        <w:t>Take Stage 2 descriptions of PSCell change failure in TS38.300 as baseline for NE-DC SCG failure, and necessary updates can be added on</w:t>
      </w:r>
      <w:r>
        <w:rPr>
          <w:rFonts w:ascii="Calibri" w:eastAsia="等线" w:hAnsi="Calibri" w:cs="Calibri"/>
          <w:bCs/>
          <w:color w:val="008000"/>
          <w:sz w:val="18"/>
        </w:rPr>
        <w:t xml:space="preserve"> top of it if needed.</w:t>
      </w:r>
    </w:p>
    <w:p w:rsidR="00D12EB2" w:rsidRDefault="004B7C19">
      <w:pPr>
        <w:rPr>
          <w:rFonts w:ascii="Calibri" w:eastAsia="等线" w:hAnsi="Calibri" w:cs="Calibri"/>
          <w:bCs/>
          <w:color w:val="008000"/>
          <w:sz w:val="18"/>
        </w:rPr>
      </w:pPr>
      <w:r>
        <w:rPr>
          <w:rFonts w:ascii="Calibri" w:eastAsia="等线" w:hAnsi="Calibri" w:cs="Calibri"/>
          <w:bCs/>
          <w:color w:val="008000"/>
          <w:sz w:val="18"/>
        </w:rPr>
        <w:t>Take Stage 2 descriptions of PSCell change failure in TS37.340 as baseline for NGEN-DC SCG failure, and necessary updates can be added on top of it if needed.</w:t>
      </w:r>
    </w:p>
    <w:p w:rsidR="00D12EB2" w:rsidRDefault="004B7C19">
      <w:pPr>
        <w:rPr>
          <w:rFonts w:ascii="Calibri" w:eastAsia="等线" w:hAnsi="Calibri" w:cs="Calibri"/>
          <w:bCs/>
          <w:color w:val="008000"/>
          <w:sz w:val="18"/>
        </w:rPr>
      </w:pPr>
      <w:r>
        <w:rPr>
          <w:rFonts w:ascii="Calibri" w:eastAsia="等线" w:hAnsi="Calibri" w:cs="Calibri"/>
          <w:bCs/>
          <w:color w:val="008000"/>
          <w:sz w:val="18"/>
        </w:rPr>
        <w:t xml:space="preserve">Take Stage 2 descriptions of PSCell change failure in TS37.340 as baseline </w:t>
      </w:r>
      <w:r>
        <w:rPr>
          <w:rFonts w:ascii="Calibri" w:eastAsia="等线" w:hAnsi="Calibri" w:cs="Calibri"/>
          <w:bCs/>
          <w:color w:val="008000"/>
          <w:sz w:val="18"/>
        </w:rPr>
        <w:t>for EN-DC SCG failure, and necessary updates can be added on top of it if needed.</w:t>
      </w:r>
    </w:p>
    <w:p w:rsidR="00DA710E" w:rsidRDefault="00DA710E">
      <w:pPr>
        <w:rPr>
          <w:rFonts w:ascii="Calibri" w:eastAsia="等线" w:hAnsi="Calibri" w:cs="Calibri" w:hint="eastAsia"/>
          <w:bCs/>
          <w:color w:val="008000"/>
          <w:sz w:val="18"/>
        </w:rPr>
      </w:pPr>
    </w:p>
    <w:p w:rsidR="00D12EB2" w:rsidRDefault="004B7C19">
      <w:pPr>
        <w:pStyle w:val="3"/>
        <w:spacing w:after="240"/>
      </w:pPr>
      <w:r>
        <w:rPr>
          <w:rFonts w:eastAsiaTheme="minorEastAsia"/>
        </w:rPr>
        <w:lastRenderedPageBreak/>
        <w:t>Stage 2 impact on TS36.300</w:t>
      </w:r>
    </w:p>
    <w:p w:rsidR="00D12EB2" w:rsidRDefault="004B7C19">
      <w:pPr>
        <w:spacing w:line="252" w:lineRule="auto"/>
        <w:contextualSpacing/>
        <w:rPr>
          <w:rFonts w:ascii="Calibri" w:eastAsia="等线" w:hAnsi="Calibri" w:cs="Calibri"/>
          <w:bCs/>
          <w:color w:val="0000FF"/>
          <w:sz w:val="18"/>
        </w:rPr>
      </w:pPr>
      <w:r>
        <w:rPr>
          <w:rFonts w:ascii="Calibri" w:eastAsia="等线" w:hAnsi="Calibri" w:cs="Calibri"/>
          <w:bCs/>
          <w:color w:val="0000FF"/>
          <w:sz w:val="18"/>
        </w:rPr>
        <w:t>Whether/how to introduce stage 2 descriptions of PSCell change failure in NGEN-DC scenario in TS36.300;</w:t>
      </w:r>
    </w:p>
    <w:p w:rsidR="00D12EB2" w:rsidRDefault="004B7C19">
      <w:pPr>
        <w:contextualSpacing/>
        <w:rPr>
          <w:rFonts w:ascii="Calibri" w:eastAsia="等线" w:hAnsi="Calibri" w:cs="Calibri"/>
          <w:bCs/>
          <w:color w:val="0000FF"/>
          <w:sz w:val="18"/>
        </w:rPr>
      </w:pPr>
      <w:r>
        <w:rPr>
          <w:rFonts w:ascii="Calibri" w:eastAsia="等线" w:hAnsi="Calibri" w:cs="Calibri"/>
          <w:bCs/>
          <w:color w:val="0000FF"/>
          <w:sz w:val="18"/>
        </w:rPr>
        <w:t>Whether/how to introduce stage 2 descriptio</w:t>
      </w:r>
      <w:r>
        <w:rPr>
          <w:rFonts w:ascii="Calibri" w:eastAsia="等线" w:hAnsi="Calibri" w:cs="Calibri"/>
          <w:bCs/>
          <w:color w:val="0000FF"/>
          <w:sz w:val="18"/>
        </w:rPr>
        <w:t>ns of PSCell change failure in EN-DC scenario in TS36.300;</w:t>
      </w:r>
    </w:p>
    <w:p w:rsidR="00D12EB2" w:rsidRDefault="004B7C19">
      <w:r>
        <w:t>In last meeting, it was agreed to take the stage 2 description in TS 37.340 as baseline for (NG) EN-DC</w:t>
      </w:r>
      <w:r>
        <w:rPr>
          <w:rFonts w:hint="eastAsia"/>
        </w:rPr>
        <w:t>.</w:t>
      </w:r>
      <w:r>
        <w:t xml:space="preserve"> For the possible stage 2 description to be introduced in TS 36.300 of PSCell change failure, </w:t>
      </w:r>
      <w:r>
        <w:t xml:space="preserve">it is desirable to give general and simple description and mainly refer to the existing description in TS 37.340. </w:t>
      </w:r>
    </w:p>
    <w:p w:rsidR="00D12EB2" w:rsidRDefault="004B7C19">
      <w:pPr>
        <w:rPr>
          <w:b/>
        </w:rPr>
      </w:pPr>
      <w:r>
        <w:rPr>
          <w:b/>
        </w:rPr>
        <w:t>Proposal 1: Introduce the stage 2 description of PSCell change failure for (NG) EN-DC in TS36.300.</w:t>
      </w:r>
    </w:p>
    <w:p w:rsidR="00D12EB2" w:rsidRDefault="004B7C19">
      <w:r>
        <w:t>The possible TP is attached in the Annex.</w:t>
      </w:r>
    </w:p>
    <w:p w:rsidR="00DA710E" w:rsidRDefault="00DA710E">
      <w:pPr>
        <w:rPr>
          <w:rFonts w:hint="eastAsia"/>
        </w:rPr>
      </w:pPr>
    </w:p>
    <w:p w:rsidR="00D12EB2" w:rsidRDefault="004B7C19">
      <w:pPr>
        <w:pStyle w:val="3"/>
        <w:spacing w:after="240"/>
        <w:rPr>
          <w:rFonts w:eastAsiaTheme="minorEastAsia"/>
        </w:rPr>
      </w:pPr>
      <w:r>
        <w:rPr>
          <w:rFonts w:eastAsiaTheme="minorEastAsia"/>
        </w:rPr>
        <w:t>Stage 3 impact</w:t>
      </w:r>
    </w:p>
    <w:p w:rsidR="00D12EB2" w:rsidRDefault="004B7C19">
      <w:pPr>
        <w:rPr>
          <w:rFonts w:ascii="Calibri" w:eastAsia="等线" w:hAnsi="Calibri" w:cs="Calibri"/>
          <w:bCs/>
          <w:color w:val="0000FF"/>
          <w:sz w:val="18"/>
        </w:rPr>
      </w:pPr>
      <w:r>
        <w:rPr>
          <w:rFonts w:ascii="Calibri" w:eastAsia="等线" w:hAnsi="Calibri" w:cs="Calibri"/>
          <w:bCs/>
          <w:color w:val="0000FF"/>
          <w:sz w:val="18"/>
        </w:rPr>
        <w:t>Further discuss stage 3 specification impacts (e.g. network interface) to support MRO for MR-DC SCG failure.</w:t>
      </w:r>
    </w:p>
    <w:p w:rsidR="00D12EB2" w:rsidRDefault="004B7C19">
      <w:r>
        <w:rPr>
          <w:rFonts w:hint="eastAsia"/>
        </w:rPr>
        <w:t>As</w:t>
      </w:r>
      <w:r>
        <w:t xml:space="preserve"> indicated in the offline discussion summary [1], the SCG failure information reported by the UE is always encoded in the format o</w:t>
      </w:r>
      <w:r>
        <w:t>f the MN RAT. For the NE-DC and (NG) EN-DC scenarios, the SN is in the different RAT from the MN. This implies that if the MN just forwards the SCG failure information from the UE to the SN, it is impossible for the SN to decode it.</w:t>
      </w:r>
    </w:p>
    <w:p w:rsidR="00D12EB2" w:rsidRDefault="004B7C19">
      <w:r>
        <w:t>To solve the problem, i</w:t>
      </w:r>
      <w:r>
        <w:t xml:space="preserve">t requires the MN to translate the SCG failure information encoded in the MN RAT into the one in the SN RAT. One potential solution is to introduce the inter-node RRC message. In this way, the MN receives the SCG failure information encoded in the MN RAT, </w:t>
      </w:r>
      <w:r>
        <w:t>then re-organizes the information with the SN RAT format and finally sends the inter-node RRC message to the SN. In this way, the SN can successfully get the SCG failure related information and perform the analysis as R17 SN node.</w:t>
      </w:r>
    </w:p>
    <w:p w:rsidR="00D12EB2" w:rsidRDefault="004B7C19">
      <w:pPr>
        <w:rPr>
          <w:b/>
        </w:rPr>
      </w:pPr>
      <w:r>
        <w:rPr>
          <w:b/>
        </w:rPr>
        <w:t>Proposal 2: RAN2 to intro</w:t>
      </w:r>
      <w:r>
        <w:rPr>
          <w:b/>
        </w:rPr>
        <w:t>duce inter-node RRC message to forward the SCG failure information from the MN to the SN for NE-DC and (NG) EN-DC scenarios.</w:t>
      </w:r>
    </w:p>
    <w:p w:rsidR="00DA710E" w:rsidRDefault="00DA710E">
      <w:pPr>
        <w:rPr>
          <w:rFonts w:hint="eastAsia"/>
          <w:b/>
        </w:rPr>
      </w:pPr>
    </w:p>
    <w:p w:rsidR="00D12EB2" w:rsidRDefault="004B7C19">
      <w:pPr>
        <w:pStyle w:val="3"/>
        <w:spacing w:after="240"/>
      </w:pPr>
      <w:r>
        <w:t>Support for the Pre-R18 UE</w:t>
      </w:r>
    </w:p>
    <w:p w:rsidR="00D12EB2" w:rsidRDefault="004B7C19">
      <w:r>
        <w:t>As discussed in R17 for Pre-R17 UE, there is not any PSCell information in the legacy SCG failure inform</w:t>
      </w:r>
      <w:r>
        <w:t>ation provided by the UE. If there was an intra-SN PSCell change, the MN cannot be aware of the procedure. To find the right PSCell, the MN will firstly try to send the SCG failure information to the failure PSCell. If there is no intra-SN PSCell change an</w:t>
      </w:r>
      <w:r>
        <w:t xml:space="preserve">d the failure PSCell identifies the source PSCell should be responsible for the SCG failure, the failure PSCell responds to the MN. Subsequently, the MN resends the SCG failure information to the source PSCell for root cause analysis. </w:t>
      </w:r>
    </w:p>
    <w:p w:rsidR="00D12EB2" w:rsidRDefault="004B7C19">
      <w:r>
        <w:rPr>
          <w:rFonts w:hint="eastAsia"/>
        </w:rPr>
        <w:t>F</w:t>
      </w:r>
      <w:r>
        <w:t>or the Pre-R18 UE i</w:t>
      </w:r>
      <w:r>
        <w:t xml:space="preserve">n case of NE-DC and (NG) EN-DC, the UE will not provide any information of the source PSCell or the target PSCell in the SCG failure information reported to the MN. It is an intuitive idea to reuse the R17 solution to find the right PSCell responsible for </w:t>
      </w:r>
      <w:r>
        <w:t>the SCG failure for the Pre-R18 UE.</w:t>
      </w:r>
    </w:p>
    <w:p w:rsidR="00D12EB2" w:rsidRDefault="004B7C19">
      <w:pPr>
        <w:rPr>
          <w:b/>
        </w:rPr>
      </w:pPr>
      <w:r>
        <w:rPr>
          <w:b/>
        </w:rPr>
        <w:t>Proposal 3: Support Pre-R18 UE and reuse the detection solution for Pre-R17 UE for EN-DC, NGEN-DC and NE-DC scenarios.</w:t>
      </w:r>
    </w:p>
    <w:p w:rsidR="00DA710E" w:rsidRDefault="00DA710E">
      <w:pPr>
        <w:rPr>
          <w:rFonts w:hint="eastAsia"/>
          <w:b/>
        </w:rPr>
      </w:pPr>
    </w:p>
    <w:p w:rsidR="00D12EB2" w:rsidRDefault="004B7C19" w:rsidP="00DA710E">
      <w:pPr>
        <w:pStyle w:val="2"/>
      </w:pPr>
      <w:r>
        <w:t>MRO for CPAC</w:t>
      </w:r>
    </w:p>
    <w:p w:rsidR="00D12EB2" w:rsidRDefault="004B7C19">
      <w:pPr>
        <w:rPr>
          <w:rFonts w:ascii="Calibri" w:hAnsi="Calibri" w:cs="Calibri"/>
          <w:color w:val="000000"/>
          <w:sz w:val="18"/>
          <w:szCs w:val="18"/>
          <w:u w:val="single"/>
        </w:rPr>
      </w:pPr>
      <w:r>
        <w:rPr>
          <w:rFonts w:ascii="Calibri" w:hAnsi="Calibri" w:cs="Calibri"/>
          <w:color w:val="000000"/>
          <w:sz w:val="18"/>
          <w:szCs w:val="18"/>
          <w:u w:val="single"/>
        </w:rPr>
        <w:t>MRO for CPAC</w:t>
      </w:r>
    </w:p>
    <w:p w:rsidR="00D12EB2" w:rsidRDefault="004B7C19">
      <w:r>
        <w:t>RAN3</w:t>
      </w:r>
      <w:r>
        <w:rPr>
          <w:rFonts w:hint="eastAsia"/>
        </w:rPr>
        <w:t>#</w:t>
      </w:r>
      <w:r>
        <w:t>117bis:</w:t>
      </w:r>
    </w:p>
    <w:p w:rsidR="00D12EB2" w:rsidRDefault="004B7C19">
      <w:pPr>
        <w:rPr>
          <w:rFonts w:ascii="Calibri" w:eastAsia="等线" w:hAnsi="Calibri" w:cs="Calibri"/>
          <w:b/>
          <w:bCs/>
          <w:color w:val="008000"/>
          <w:sz w:val="18"/>
        </w:rPr>
      </w:pPr>
      <w:r>
        <w:rPr>
          <w:rFonts w:ascii="Calibri" w:eastAsia="等线" w:hAnsi="Calibri" w:cs="Calibri"/>
          <w:b/>
          <w:bCs/>
          <w:color w:val="008000"/>
          <w:sz w:val="18"/>
        </w:rPr>
        <w:t>Not consider too late CPA.</w:t>
      </w:r>
    </w:p>
    <w:p w:rsidR="00D12EB2" w:rsidRDefault="004B7C19">
      <w:pPr>
        <w:rPr>
          <w:rFonts w:ascii="Calibri" w:eastAsia="等线" w:hAnsi="Calibri" w:cs="Calibri"/>
          <w:b/>
          <w:bCs/>
          <w:color w:val="008000"/>
          <w:sz w:val="18"/>
        </w:rPr>
      </w:pPr>
      <w:r>
        <w:rPr>
          <w:rFonts w:ascii="Calibri" w:eastAsia="等线" w:hAnsi="Calibri" w:cs="Calibri"/>
          <w:b/>
          <w:bCs/>
          <w:color w:val="008000"/>
          <w:sz w:val="18"/>
        </w:rPr>
        <w:t xml:space="preserve">CPA Execution to wrong PSCell will </w:t>
      </w:r>
      <w:r>
        <w:rPr>
          <w:rFonts w:ascii="Calibri" w:eastAsia="等线" w:hAnsi="Calibri" w:cs="Calibri"/>
          <w:b/>
          <w:bCs/>
          <w:color w:val="008000"/>
          <w:sz w:val="18"/>
        </w:rPr>
        <w:t>be considered, e.g. UE receives CPA configuration and CPA execution condition is satisfied, CPA execution fails or an SCG failure occurs shortly after a successful CPA execution; a suitable PSCell different with target PSCell is found based on the measurem</w:t>
      </w:r>
      <w:r>
        <w:rPr>
          <w:rFonts w:ascii="Calibri" w:eastAsia="等线" w:hAnsi="Calibri" w:cs="Calibri"/>
          <w:b/>
          <w:bCs/>
          <w:color w:val="008000"/>
          <w:sz w:val="18"/>
        </w:rPr>
        <w:t>ents reported from the UE.</w:t>
      </w:r>
    </w:p>
    <w:p w:rsidR="00D12EB2" w:rsidRDefault="004B7C19">
      <w:pPr>
        <w:rPr>
          <w:rFonts w:ascii="Calibri" w:eastAsia="等线" w:hAnsi="Calibri" w:cs="Calibri"/>
          <w:b/>
          <w:bCs/>
          <w:color w:val="008000"/>
          <w:sz w:val="18"/>
        </w:rPr>
      </w:pPr>
      <w:r>
        <w:rPr>
          <w:rFonts w:ascii="Calibri" w:eastAsia="等线" w:hAnsi="Calibri" w:cs="Calibri"/>
          <w:b/>
          <w:bCs/>
          <w:color w:val="008000"/>
          <w:sz w:val="18"/>
        </w:rPr>
        <w:t>Too Late CPC Execution, Too Early CPC Execution and CPC Execution to wrong PSCell</w:t>
      </w:r>
      <w:r>
        <w:rPr>
          <w:rFonts w:ascii="Calibri" w:hAnsi="Calibri" w:cs="Calibri"/>
          <w:b/>
          <w:color w:val="008000"/>
          <w:sz w:val="18"/>
        </w:rPr>
        <w:t xml:space="preserve"> </w:t>
      </w:r>
      <w:r>
        <w:rPr>
          <w:rFonts w:ascii="Calibri" w:eastAsia="等线" w:hAnsi="Calibri" w:cs="Calibri"/>
          <w:b/>
          <w:bCs/>
          <w:color w:val="008000"/>
          <w:sz w:val="18"/>
        </w:rPr>
        <w:t xml:space="preserve">will be considered: </w:t>
      </w:r>
    </w:p>
    <w:p w:rsidR="00D12EB2" w:rsidRDefault="004B7C19">
      <w:pPr>
        <w:rPr>
          <w:rFonts w:ascii="Calibri" w:eastAsia="等线" w:hAnsi="Calibri" w:cs="Calibri"/>
          <w:b/>
          <w:bCs/>
          <w:color w:val="008000"/>
          <w:sz w:val="18"/>
        </w:rPr>
      </w:pPr>
      <w:r>
        <w:rPr>
          <w:rFonts w:ascii="Calibri" w:eastAsia="等线" w:hAnsi="Calibri" w:cs="Calibri"/>
          <w:b/>
          <w:bCs/>
          <w:color w:val="008000"/>
          <w:sz w:val="18"/>
        </w:rPr>
        <w:t>-</w:t>
      </w:r>
      <w:r>
        <w:rPr>
          <w:rFonts w:ascii="Calibri" w:eastAsia="等线" w:hAnsi="Calibri" w:cs="Calibri"/>
          <w:b/>
          <w:bCs/>
          <w:color w:val="008000"/>
          <w:sz w:val="18"/>
        </w:rPr>
        <w:tab/>
        <w:t>Too Late CPC Execution: UE receives CPC configuration, while a SCG failure occurs before CPC execution condition is satisfie</w:t>
      </w:r>
      <w:r>
        <w:rPr>
          <w:rFonts w:ascii="Calibri" w:eastAsia="等线" w:hAnsi="Calibri" w:cs="Calibri"/>
          <w:b/>
          <w:bCs/>
          <w:color w:val="008000"/>
          <w:sz w:val="18"/>
        </w:rPr>
        <w:t>d; a suitable PSCell different with source PSCell is found based on the measurements reported for the UE.</w:t>
      </w:r>
    </w:p>
    <w:p w:rsidR="00D12EB2" w:rsidRDefault="004B7C19">
      <w:pPr>
        <w:rPr>
          <w:rFonts w:ascii="Calibri" w:eastAsia="等线" w:hAnsi="Calibri" w:cs="Calibri"/>
          <w:b/>
          <w:bCs/>
          <w:color w:val="008000"/>
          <w:sz w:val="18"/>
        </w:rPr>
      </w:pPr>
      <w:r>
        <w:rPr>
          <w:rFonts w:ascii="Calibri" w:eastAsia="等线" w:hAnsi="Calibri" w:cs="Calibri"/>
          <w:b/>
          <w:bCs/>
          <w:color w:val="008000"/>
          <w:sz w:val="18"/>
        </w:rPr>
        <w:t>-</w:t>
      </w:r>
      <w:r>
        <w:rPr>
          <w:rFonts w:ascii="Calibri" w:eastAsia="等线" w:hAnsi="Calibri" w:cs="Calibri"/>
          <w:b/>
          <w:bCs/>
          <w:color w:val="008000"/>
          <w:sz w:val="18"/>
        </w:rPr>
        <w:tab/>
        <w:t>Too Early CPC Execution: UE receives CPC configuration and CPC execution condition is satisfied, CPC execution fails or an SCG failure occurs shortl</w:t>
      </w:r>
      <w:r>
        <w:rPr>
          <w:rFonts w:ascii="Calibri" w:eastAsia="等线" w:hAnsi="Calibri" w:cs="Calibri"/>
          <w:b/>
          <w:bCs/>
          <w:color w:val="008000"/>
          <w:sz w:val="18"/>
        </w:rPr>
        <w:t>y after a successful CPC execution; source PSCell is still the suitable PSCell based on the measurements reported from the UE.</w:t>
      </w:r>
    </w:p>
    <w:p w:rsidR="00D12EB2" w:rsidRDefault="004B7C19">
      <w:pPr>
        <w:rPr>
          <w:rFonts w:ascii="Calibri" w:eastAsia="等线" w:hAnsi="Calibri" w:cs="Calibri"/>
          <w:b/>
          <w:bCs/>
          <w:color w:val="008000"/>
          <w:sz w:val="18"/>
        </w:rPr>
      </w:pPr>
      <w:r>
        <w:rPr>
          <w:rFonts w:ascii="Calibri" w:eastAsia="等线" w:hAnsi="Calibri" w:cs="Calibri"/>
          <w:b/>
          <w:bCs/>
          <w:color w:val="008000"/>
          <w:sz w:val="18"/>
        </w:rPr>
        <w:t>-</w:t>
      </w:r>
      <w:r>
        <w:rPr>
          <w:rFonts w:ascii="Calibri" w:eastAsia="等线" w:hAnsi="Calibri" w:cs="Calibri"/>
          <w:b/>
          <w:bCs/>
          <w:color w:val="008000"/>
          <w:sz w:val="18"/>
        </w:rPr>
        <w:tab/>
        <w:t>CPC Execution to wrong PSCell: UE receives CPC configuration and CPC execution condition is satisfied, CPC execution fails or a</w:t>
      </w:r>
      <w:r>
        <w:rPr>
          <w:rFonts w:ascii="Calibri" w:eastAsia="等线" w:hAnsi="Calibri" w:cs="Calibri"/>
          <w:b/>
          <w:bCs/>
          <w:color w:val="008000"/>
          <w:sz w:val="18"/>
        </w:rPr>
        <w:t>n SCG failure occurs shortly after a successful CPC execution; a suitable PSCell different with source PSCell or target PSCell is found based on the measurements reported from the UE.</w:t>
      </w:r>
    </w:p>
    <w:p w:rsidR="00D12EB2" w:rsidRDefault="004B7C19">
      <w:pPr>
        <w:rPr>
          <w:rFonts w:ascii="Calibri" w:eastAsia="等线" w:hAnsi="Calibri" w:cs="Calibri"/>
          <w:b/>
          <w:bCs/>
          <w:color w:val="008000"/>
          <w:sz w:val="18"/>
        </w:rPr>
      </w:pPr>
      <w:r>
        <w:rPr>
          <w:rFonts w:ascii="Calibri" w:eastAsia="等线" w:hAnsi="Calibri" w:cs="Calibri"/>
          <w:b/>
          <w:bCs/>
          <w:color w:val="008000"/>
          <w:sz w:val="18"/>
        </w:rPr>
        <w:t>For MRO for CPAC, deprioritize Case i/ii/iii/iv:</w:t>
      </w:r>
    </w:p>
    <w:p w:rsidR="00D12EB2" w:rsidRDefault="004B7C19">
      <w:pPr>
        <w:rPr>
          <w:rFonts w:ascii="Calibri" w:eastAsia="等线" w:hAnsi="Calibri" w:cs="Calibri"/>
          <w:b/>
          <w:bCs/>
          <w:color w:val="008000"/>
          <w:sz w:val="18"/>
        </w:rPr>
      </w:pPr>
      <w:r>
        <w:rPr>
          <w:rFonts w:ascii="Calibri" w:eastAsia="等线" w:hAnsi="Calibri" w:cs="Calibri"/>
          <w:b/>
          <w:bCs/>
          <w:color w:val="008000"/>
          <w:sz w:val="18"/>
        </w:rPr>
        <w:t>-</w:t>
      </w:r>
      <w:r>
        <w:rPr>
          <w:rFonts w:ascii="Calibri" w:eastAsia="等线" w:hAnsi="Calibri" w:cs="Calibri"/>
          <w:b/>
          <w:bCs/>
          <w:color w:val="008000"/>
          <w:sz w:val="18"/>
        </w:rPr>
        <w:tab/>
        <w:t>Case i: mixed scenari</w:t>
      </w:r>
      <w:r>
        <w:rPr>
          <w:rFonts w:ascii="Calibri" w:eastAsia="等线" w:hAnsi="Calibri" w:cs="Calibri"/>
          <w:b/>
          <w:bCs/>
          <w:color w:val="008000"/>
          <w:sz w:val="18"/>
        </w:rPr>
        <w:t>os of legacy PA and CPA, i.e. UE receives CPA configuration, a legacy PSCell addition is performed but fails, or a legacy PSCell addition is performed and succeeds but an SCG failure occurs shortly after the successful legacy PSCell addition.</w:t>
      </w:r>
    </w:p>
    <w:p w:rsidR="00D12EB2" w:rsidRDefault="004B7C19">
      <w:pPr>
        <w:rPr>
          <w:rFonts w:ascii="Calibri" w:eastAsia="等线" w:hAnsi="Calibri" w:cs="Calibri"/>
          <w:b/>
          <w:bCs/>
          <w:color w:val="008000"/>
          <w:sz w:val="18"/>
        </w:rPr>
      </w:pPr>
      <w:r>
        <w:rPr>
          <w:rFonts w:ascii="Calibri" w:eastAsia="等线" w:hAnsi="Calibri" w:cs="Calibri"/>
          <w:b/>
          <w:bCs/>
          <w:color w:val="008000"/>
          <w:sz w:val="18"/>
        </w:rPr>
        <w:t>-</w:t>
      </w:r>
      <w:r>
        <w:rPr>
          <w:rFonts w:ascii="Calibri" w:eastAsia="等线" w:hAnsi="Calibri" w:cs="Calibri"/>
          <w:b/>
          <w:bCs/>
          <w:color w:val="008000"/>
          <w:sz w:val="18"/>
        </w:rPr>
        <w:tab/>
        <w:t>Case ii: mi</w:t>
      </w:r>
      <w:r>
        <w:rPr>
          <w:rFonts w:ascii="Calibri" w:eastAsia="等线" w:hAnsi="Calibri" w:cs="Calibri"/>
          <w:b/>
          <w:bCs/>
          <w:color w:val="008000"/>
          <w:sz w:val="18"/>
        </w:rPr>
        <w:t>xed scenarios of legacy PC and CPC, i.e. UE receives CPC configuration, a legacy PSCell change is performed but fails, or a legacy PSCell change is performed and succeeds but an SCG failure occurs shortly after the successful legacy PSCell change.</w:t>
      </w:r>
    </w:p>
    <w:p w:rsidR="00D12EB2" w:rsidRDefault="004B7C19">
      <w:pPr>
        <w:rPr>
          <w:rFonts w:ascii="Calibri" w:eastAsia="等线" w:hAnsi="Calibri" w:cs="Calibri"/>
          <w:b/>
          <w:bCs/>
          <w:color w:val="008000"/>
          <w:sz w:val="18"/>
        </w:rPr>
      </w:pPr>
      <w:r>
        <w:rPr>
          <w:rFonts w:ascii="Calibri" w:eastAsia="等线" w:hAnsi="Calibri" w:cs="Calibri"/>
          <w:b/>
          <w:bCs/>
          <w:color w:val="008000"/>
          <w:sz w:val="18"/>
        </w:rPr>
        <w:t>-</w:t>
      </w:r>
      <w:r>
        <w:rPr>
          <w:rFonts w:ascii="Calibri" w:eastAsia="等线" w:hAnsi="Calibri" w:cs="Calibri"/>
          <w:b/>
          <w:bCs/>
          <w:color w:val="008000"/>
          <w:sz w:val="18"/>
        </w:rPr>
        <w:tab/>
        <w:t>Case i</w:t>
      </w:r>
      <w:r>
        <w:rPr>
          <w:rFonts w:ascii="Calibri" w:eastAsia="等线" w:hAnsi="Calibri" w:cs="Calibri"/>
          <w:b/>
          <w:bCs/>
          <w:color w:val="008000"/>
          <w:sz w:val="18"/>
        </w:rPr>
        <w:t>ii: MCG RLF or handover failure or CHO execution failure before CPA/CPC execution.</w:t>
      </w:r>
    </w:p>
    <w:p w:rsidR="00D12EB2" w:rsidRDefault="004B7C19">
      <w:pPr>
        <w:rPr>
          <w:rFonts w:ascii="Calibri" w:eastAsia="等线" w:hAnsi="Calibri" w:cs="Calibri"/>
          <w:b/>
          <w:bCs/>
          <w:color w:val="008000"/>
          <w:sz w:val="18"/>
        </w:rPr>
      </w:pPr>
      <w:r>
        <w:rPr>
          <w:rFonts w:ascii="Calibri" w:eastAsia="等线" w:hAnsi="Calibri" w:cs="Calibri"/>
          <w:b/>
          <w:bCs/>
          <w:color w:val="008000"/>
          <w:sz w:val="18"/>
        </w:rPr>
        <w:t>-</w:t>
      </w:r>
      <w:r>
        <w:rPr>
          <w:rFonts w:ascii="Calibri" w:eastAsia="等线" w:hAnsi="Calibri" w:cs="Calibri"/>
          <w:b/>
          <w:bCs/>
          <w:color w:val="008000"/>
          <w:sz w:val="18"/>
        </w:rPr>
        <w:tab/>
        <w:t>Case iv: CHO-CPC coexistence scenarios with low priority.</w:t>
      </w:r>
    </w:p>
    <w:p w:rsidR="00D12EB2" w:rsidRDefault="004B7C19">
      <w:pPr>
        <w:rPr>
          <w:rFonts w:ascii="Calibri" w:hAnsi="Calibri" w:cs="Calibri"/>
          <w:color w:val="000000"/>
          <w:sz w:val="18"/>
          <w:szCs w:val="18"/>
          <w:u w:val="single"/>
        </w:rPr>
      </w:pPr>
      <w:r>
        <w:t>RAN3</w:t>
      </w:r>
      <w:r>
        <w:rPr>
          <w:rFonts w:hint="eastAsia"/>
        </w:rPr>
        <w:t>#</w:t>
      </w:r>
      <w:r>
        <w:t>117:</w:t>
      </w:r>
    </w:p>
    <w:p w:rsidR="00D12EB2" w:rsidRDefault="004B7C19">
      <w:pPr>
        <w:ind w:firstLine="284"/>
        <w:rPr>
          <w:rFonts w:ascii="Calibri" w:eastAsia="等线" w:hAnsi="Calibri" w:cs="Calibri"/>
          <w:bCs/>
          <w:color w:val="008000"/>
          <w:sz w:val="18"/>
        </w:rPr>
      </w:pPr>
      <w:r>
        <w:rPr>
          <w:rFonts w:ascii="Calibri" w:eastAsia="等线" w:hAnsi="Calibri" w:cs="Calibri"/>
          <w:bCs/>
          <w:color w:val="008000"/>
          <w:sz w:val="18"/>
        </w:rPr>
        <w:t>MRO for CPC and CPA based on the R17 NR-DC MRO solution</w:t>
      </w:r>
    </w:p>
    <w:p w:rsidR="00D12EB2" w:rsidRDefault="00D12EB2"/>
    <w:p w:rsidR="00D12EB2" w:rsidRDefault="004B7C19">
      <w:pPr>
        <w:pStyle w:val="3"/>
        <w:spacing w:after="240"/>
      </w:pPr>
      <w:r>
        <w:rPr>
          <w:rFonts w:eastAsiaTheme="minorEastAsia"/>
        </w:rPr>
        <w:t>Clarification of too early CPA execution</w:t>
      </w:r>
    </w:p>
    <w:p w:rsidR="00D12EB2" w:rsidRDefault="004B7C19">
      <w:r>
        <w:t xml:space="preserve">For </w:t>
      </w:r>
      <w:r>
        <w:t>MRO purpose, similar as legacy PSCell change failure types and CHO failure types, SCG failure types related to CPA/CPC more or less fall into the same categories: too early, too late and wrong Cell.</w:t>
      </w:r>
    </w:p>
    <w:p w:rsidR="00D12EB2" w:rsidRDefault="004B7C19">
      <w:r>
        <w:t xml:space="preserve">In terms of CPC failure types, RAN3 has agreed too early </w:t>
      </w:r>
      <w:r>
        <w:t>CPC execution, too late CPC execution and CPC execution to wrong PSCell. As for CPA failure types, RAN3 has only agreed CPA execution to wrong PSCell. Too late CPA execution has been excluded. There is some doubt about too early CPA execution. Too early CP</w:t>
      </w:r>
      <w:r>
        <w:t>A execution is considered in email discussion [1] this way:</w:t>
      </w:r>
    </w:p>
    <w:p w:rsidR="00D12EB2" w:rsidRDefault="004B7C19">
      <w:pPr>
        <w:rPr>
          <w:b/>
          <w:bCs/>
          <w:lang w:val="de-DE"/>
        </w:rPr>
      </w:pPr>
      <w:r>
        <w:rPr>
          <w:b/>
          <w:bCs/>
          <w:u w:val="single"/>
          <w:lang w:val="de-DE"/>
        </w:rPr>
        <w:t>Too Early CPC Execution</w:t>
      </w:r>
      <w:r>
        <w:rPr>
          <w:b/>
          <w:bCs/>
          <w:lang w:val="de-DE"/>
        </w:rPr>
        <w:t>: UE receives CPC configuration and CPC execution condition is satisfied, CPC execution fails or an SCG failure occurs shortly after a successful CPC execution; source PSCel</w:t>
      </w:r>
      <w:r>
        <w:rPr>
          <w:b/>
          <w:bCs/>
          <w:lang w:val="de-DE"/>
        </w:rPr>
        <w:t>l is still the suitable PSCell based on the measurements reported from the UE.</w:t>
      </w:r>
    </w:p>
    <w:p w:rsidR="00D12EB2" w:rsidRDefault="004B7C19">
      <w:pPr>
        <w:rPr>
          <w:lang w:val="de-DE"/>
        </w:rPr>
      </w:pPr>
      <w:r>
        <w:rPr>
          <w:lang w:val="de-DE"/>
        </w:rPr>
        <w:lastRenderedPageBreak/>
        <w:t xml:space="preserve">RAN3 believes that </w:t>
      </w:r>
      <w:r>
        <w:t>“no suitable PSCell found” needs to be further clarified. In our understanding, the “suitable” is related to cell selection criterion (also known as criterion</w:t>
      </w:r>
      <w:r>
        <w:t xml:space="preserve"> S), which involves cell measurement and suitable cell evaluation without any doubt. </w:t>
      </w:r>
    </w:p>
    <w:p w:rsidR="00D12EB2" w:rsidRDefault="004B7C19">
      <w:pPr>
        <w:ind w:left="105" w:hangingChars="50" w:hanging="105"/>
      </w:pPr>
      <w:r>
        <w:rPr>
          <w:lang w:val="de-DE"/>
        </w:rPr>
        <w:t xml:space="preserve">We look at the determination of </w:t>
      </w:r>
      <w:r>
        <w:rPr>
          <w:i/>
        </w:rPr>
        <w:t xml:space="preserve">reestablishmentCellId </w:t>
      </w:r>
      <w:r>
        <w:t xml:space="preserve">in RLF report in TS 38.331 which relates to the transmission of </w:t>
      </w:r>
      <w:r>
        <w:rPr>
          <w:i/>
        </w:rPr>
        <w:t>RRCReestablishmentRequest</w:t>
      </w:r>
      <w:r>
        <w:t xml:space="preserve"> message. Since </w:t>
      </w:r>
      <w:r>
        <w:rPr>
          <w:i/>
        </w:rPr>
        <w:t>RRCReestabl</w:t>
      </w:r>
      <w:r>
        <w:rPr>
          <w:i/>
        </w:rPr>
        <w:t>ishmentRequest</w:t>
      </w:r>
      <w:r>
        <w:t xml:space="preserve"> message is sent from UE to the selected cell via MsgA or Msg3 message during random access procedure, it is sure that the determination of selected cell does not depend on the successful completion of RA procedure. </w:t>
      </w:r>
      <w:r>
        <w:rPr>
          <w:rFonts w:hint="eastAsia"/>
        </w:rPr>
        <w:t>T</w:t>
      </w:r>
      <w:r>
        <w:t>her</w:t>
      </w:r>
      <w:r w:rsidR="00924929">
        <w:t>e</w:t>
      </w:r>
      <w:r>
        <w:t>fore, we can make sure</w:t>
      </w:r>
      <w:r>
        <w:t xml:space="preserve"> that the selected cell refers to the cell </w:t>
      </w:r>
      <w:bookmarkStart w:id="4" w:name="OLE_LINK1"/>
      <w:r>
        <w:t xml:space="preserve">which meets the cell selectin criterion according to measurement results. </w:t>
      </w:r>
    </w:p>
    <w:p w:rsidR="00DA710E" w:rsidRDefault="00DA710E">
      <w:pPr>
        <w:ind w:left="105" w:hangingChars="50" w:hanging="105"/>
        <w:rPr>
          <w:rFonts w:hint="eastAsia"/>
          <w:b/>
        </w:rPr>
      </w:pPr>
    </w:p>
    <w:p w:rsidR="00D12EB2" w:rsidRDefault="004B7C19">
      <w:pPr>
        <w:pStyle w:val="4"/>
        <w:numPr>
          <w:ilvl w:val="0"/>
          <w:numId w:val="0"/>
        </w:numPr>
        <w:spacing w:after="240"/>
        <w:ind w:left="1299" w:hanging="879"/>
        <w:rPr>
          <w:highlight w:val="lightGray"/>
        </w:rPr>
      </w:pPr>
      <w:bookmarkStart w:id="5" w:name="_Toc115428530"/>
      <w:bookmarkEnd w:id="4"/>
      <w:r>
        <w:rPr>
          <w:highlight w:val="lightGray"/>
        </w:rPr>
        <w:t>5.3.7.4</w:t>
      </w:r>
      <w:r>
        <w:rPr>
          <w:highlight w:val="lightGray"/>
        </w:rPr>
        <w:tab/>
        <w:t xml:space="preserve">Actions related to transmission of </w:t>
      </w:r>
      <w:r>
        <w:rPr>
          <w:i/>
          <w:highlight w:val="lightGray"/>
        </w:rPr>
        <w:t>RRCReestablishmentRequest</w:t>
      </w:r>
      <w:r>
        <w:rPr>
          <w:highlight w:val="lightGray"/>
        </w:rPr>
        <w:t xml:space="preserve"> message</w:t>
      </w:r>
      <w:bookmarkEnd w:id="5"/>
    </w:p>
    <w:p w:rsidR="00D12EB2" w:rsidRDefault="004B7C19">
      <w:pPr>
        <w:rPr>
          <w:highlight w:val="lightGray"/>
        </w:rPr>
      </w:pPr>
      <w:r>
        <w:rPr>
          <w:highlight w:val="lightGray"/>
        </w:rPr>
        <w:t xml:space="preserve">The UE shall set the contents of </w:t>
      </w:r>
      <w:r>
        <w:rPr>
          <w:i/>
          <w:highlight w:val="lightGray"/>
        </w:rPr>
        <w:t>RRCReestablishmentRequest</w:t>
      </w:r>
      <w:r>
        <w:rPr>
          <w:highlight w:val="lightGray"/>
        </w:rPr>
        <w:t xml:space="preserve"> me</w:t>
      </w:r>
      <w:r>
        <w:rPr>
          <w:highlight w:val="lightGray"/>
        </w:rPr>
        <w:t>ssage as follows:</w:t>
      </w:r>
    </w:p>
    <w:p w:rsidR="00D12EB2" w:rsidRDefault="004B7C19">
      <w:pPr>
        <w:pStyle w:val="B1"/>
        <w:rPr>
          <w:highlight w:val="lightGray"/>
        </w:rPr>
      </w:pPr>
      <w:r>
        <w:rPr>
          <w:highlight w:val="lightGray"/>
        </w:rPr>
        <w:t>1&gt;</w:t>
      </w:r>
      <w:r>
        <w:rPr>
          <w:highlight w:val="lightGray"/>
        </w:rPr>
        <w:tab/>
        <w:t>if the procedure was initiated due to radio link failure as specified in 5.3.10.3 or reconfiguration with sync failure as specified in 5.3.5.8.3:</w:t>
      </w:r>
    </w:p>
    <w:p w:rsidR="00D12EB2" w:rsidRDefault="004B7C19">
      <w:pPr>
        <w:pStyle w:val="B2"/>
      </w:pPr>
      <w:r>
        <w:rPr>
          <w:highlight w:val="lightGray"/>
        </w:rPr>
        <w:t>2&gt;</w:t>
      </w:r>
      <w:r>
        <w:rPr>
          <w:highlight w:val="lightGray"/>
        </w:rPr>
        <w:tab/>
        <w:t xml:space="preserve">set the </w:t>
      </w:r>
      <w:r>
        <w:rPr>
          <w:i/>
          <w:highlight w:val="lightGray"/>
        </w:rPr>
        <w:t>reestablishmentCellId</w:t>
      </w:r>
      <w:r>
        <w:rPr>
          <w:highlight w:val="lightGray"/>
        </w:rPr>
        <w:t xml:space="preserve"> in the </w:t>
      </w:r>
      <w:r>
        <w:rPr>
          <w:i/>
          <w:highlight w:val="lightGray"/>
        </w:rPr>
        <w:t>VarRLF-Report</w:t>
      </w:r>
      <w:r>
        <w:rPr>
          <w:highlight w:val="lightGray"/>
        </w:rPr>
        <w:t xml:space="preserve"> to the global cell identity of the </w:t>
      </w:r>
      <w:r>
        <w:rPr>
          <w:highlight w:val="lightGray"/>
        </w:rPr>
        <w:t>selected cell;</w:t>
      </w:r>
    </w:p>
    <w:p w:rsidR="00D12EB2" w:rsidRDefault="004B7C19">
      <w:pPr>
        <w:ind w:left="105" w:hangingChars="50" w:hanging="105"/>
        <w:rPr>
          <w:b/>
        </w:rPr>
      </w:pPr>
      <w:r>
        <w:rPr>
          <w:rFonts w:hint="eastAsia"/>
          <w:b/>
        </w:rPr>
        <w:t>O</w:t>
      </w:r>
      <w:r>
        <w:rPr>
          <w:b/>
        </w:rPr>
        <w:t>bservation 1</w:t>
      </w:r>
      <w:r>
        <w:rPr>
          <w:rFonts w:hint="eastAsia"/>
          <w:b/>
        </w:rPr>
        <w:t>:</w:t>
      </w:r>
      <w:r>
        <w:rPr>
          <w:b/>
        </w:rPr>
        <w:t xml:space="preserve"> upon transmission of </w:t>
      </w:r>
      <w:r>
        <w:rPr>
          <w:b/>
          <w:i/>
        </w:rPr>
        <w:t>RRCReestablishmentRequest</w:t>
      </w:r>
      <w:r>
        <w:rPr>
          <w:b/>
        </w:rPr>
        <w:t xml:space="preserve"> message</w:t>
      </w:r>
      <w:r>
        <w:rPr>
          <w:b/>
          <w:i/>
        </w:rPr>
        <w:t xml:space="preserve"> reestablishmentCellId</w:t>
      </w:r>
      <w:r>
        <w:rPr>
          <w:b/>
        </w:rPr>
        <w:t xml:space="preserve"> in RLF report is set to indicate the selected Cell. It is sure that the determination of selected cell does not depend on the successful completion o</w:t>
      </w:r>
      <w:r>
        <w:rPr>
          <w:b/>
        </w:rPr>
        <w:t>f RA procedure.</w:t>
      </w:r>
    </w:p>
    <w:p w:rsidR="00D12EB2" w:rsidRDefault="004B7C19">
      <w:pPr>
        <w:rPr>
          <w:b/>
        </w:rPr>
      </w:pPr>
      <w:r>
        <w:rPr>
          <w:b/>
        </w:rPr>
        <w:t xml:space="preserve">Proposal 4: For too early CPA execution, “no suitable PSCell found” refer to no PSCell which meets the cell selectin criterion according to measurement results. </w:t>
      </w:r>
    </w:p>
    <w:p w:rsidR="00D12EB2" w:rsidRDefault="004B7C19">
      <w:pPr>
        <w:rPr>
          <w:lang w:val="de-DE"/>
        </w:rPr>
      </w:pPr>
      <w:r>
        <w:rPr>
          <w:lang w:val="de-DE"/>
        </w:rPr>
        <w:t>In each of aforementioned CPA and CPC failure type, the SCG failure occurs due</w:t>
      </w:r>
      <w:r>
        <w:rPr>
          <w:lang w:val="de-DE"/>
        </w:rPr>
        <w:t xml:space="preserve"> to improper candidate PSCell list or inappropriate execution conditions. For MN init</w:t>
      </w:r>
      <w:r>
        <w:t>i</w:t>
      </w:r>
      <w:r>
        <w:rPr>
          <w:lang w:val="de-DE"/>
        </w:rPr>
        <w:t>ated CPA/CPC procedure it is MN to prepare candidate PSCell list and corresponding execution conditions, while for SN ini</w:t>
      </w:r>
      <w:r>
        <w:t>ti</w:t>
      </w:r>
      <w:r>
        <w:rPr>
          <w:lang w:val="de-DE"/>
        </w:rPr>
        <w:t>ated CPC procedure it is source SN to prepare c</w:t>
      </w:r>
      <w:r>
        <w:rPr>
          <w:lang w:val="de-DE"/>
        </w:rPr>
        <w:t xml:space="preserve">andiate PSCell list and the corresponding execution conditions. So it could be MN or source SN that cause the SCG failure. Upon reception of </w:t>
      </w:r>
      <w:r>
        <w:rPr>
          <w:i/>
        </w:rPr>
        <w:t xml:space="preserve">SCGFailureInformation </w:t>
      </w:r>
      <w:r>
        <w:rPr>
          <w:lang w:val="de-DE"/>
        </w:rPr>
        <w:t xml:space="preserve">from </w:t>
      </w:r>
      <w:r>
        <w:t>UE</w:t>
      </w:r>
      <w:r>
        <w:rPr>
          <w:lang w:val="de-DE"/>
        </w:rPr>
        <w:t>, MN perform initial analysis, determines the failure type and forwards the SCG failur</w:t>
      </w:r>
      <w:r>
        <w:rPr>
          <w:lang w:val="de-DE"/>
        </w:rPr>
        <w:t>e inforamtion to the corresponding node which caused the failure. It is the corresponding node to optimize the set of candidate PSCells and execution conditions during CPA/CPC.</w:t>
      </w:r>
    </w:p>
    <w:p w:rsidR="00D12EB2" w:rsidRDefault="004B7C19">
      <w:pPr>
        <w:rPr>
          <w:b/>
        </w:rPr>
      </w:pPr>
      <w:r>
        <w:rPr>
          <w:b/>
        </w:rPr>
        <w:t xml:space="preserve">Observation 2: It could be MN or source SN which causes the SCG failure </w:t>
      </w:r>
      <w:r>
        <w:rPr>
          <w:rFonts w:hint="eastAsia"/>
          <w:b/>
        </w:rPr>
        <w:t>due</w:t>
      </w:r>
      <w:r>
        <w:rPr>
          <w:b/>
        </w:rPr>
        <w:t xml:space="preserve"> to </w:t>
      </w:r>
      <w:r>
        <w:rPr>
          <w:b/>
        </w:rPr>
        <w:t>improper CPAC configuration.</w:t>
      </w:r>
    </w:p>
    <w:p w:rsidR="00D12EB2" w:rsidRDefault="004B7C19">
      <w:pPr>
        <w:rPr>
          <w:b/>
        </w:rPr>
      </w:pPr>
      <w:r>
        <w:rPr>
          <w:b/>
        </w:rPr>
        <w:t xml:space="preserve">Proposal 5: In case of CPA and CPC failure scenarios, upon reception of </w:t>
      </w:r>
      <w:r>
        <w:rPr>
          <w:b/>
          <w:i/>
        </w:rPr>
        <w:t>SCGFailureInformation</w:t>
      </w:r>
      <w:r>
        <w:rPr>
          <w:b/>
        </w:rPr>
        <w:t xml:space="preserve"> from MN, MN perform initial analysis, determines the failure type and forwards the SCG failure </w:t>
      </w:r>
      <w:r w:rsidR="00924929">
        <w:rPr>
          <w:b/>
        </w:rPr>
        <w:t>information</w:t>
      </w:r>
      <w:r>
        <w:rPr>
          <w:b/>
        </w:rPr>
        <w:t xml:space="preserve"> to the corresponding node </w:t>
      </w:r>
      <w:r>
        <w:rPr>
          <w:b/>
        </w:rPr>
        <w:t>which caused the failure.</w:t>
      </w:r>
    </w:p>
    <w:p w:rsidR="00DA710E" w:rsidRDefault="00DA710E">
      <w:pPr>
        <w:rPr>
          <w:rFonts w:hint="eastAsia"/>
          <w:b/>
        </w:rPr>
      </w:pPr>
    </w:p>
    <w:p w:rsidR="00D12EB2" w:rsidRDefault="004B7C19">
      <w:pPr>
        <w:pStyle w:val="3"/>
        <w:spacing w:after="240"/>
        <w:rPr>
          <w:rFonts w:eastAsiaTheme="minorEastAsia"/>
          <w:lang w:val="de-DE"/>
        </w:rPr>
      </w:pPr>
      <w:r>
        <w:rPr>
          <w:rFonts w:eastAsiaTheme="minorEastAsia"/>
          <w:lang w:val="de-DE"/>
        </w:rPr>
        <w:t>Enhancements of SCG Failure Information for CPAC</w:t>
      </w:r>
    </w:p>
    <w:p w:rsidR="00D12EB2" w:rsidRDefault="004B7C19">
      <w:r>
        <w:t xml:space="preserve">In R17 NR-DC MRO solution by means of </w:t>
      </w:r>
      <w:r>
        <w:rPr>
          <w:lang w:val="de-DE"/>
        </w:rPr>
        <w:t>SCG Failure Information</w:t>
      </w:r>
      <w:r>
        <w:t xml:space="preserve"> is introduced for failure handling purpose </w:t>
      </w:r>
      <w:r>
        <w:lastRenderedPageBreak/>
        <w:t xml:space="preserve">firstly and then for MRO purpose. Failure handling for SCG failure related to CPA/CPC just goes as the legacy SCG failure case: UE sends </w:t>
      </w:r>
      <w:r>
        <w:rPr>
          <w:i/>
        </w:rPr>
        <w:t xml:space="preserve">SCGFailureInformation </w:t>
      </w:r>
      <w:r>
        <w:t xml:space="preserve">message to MN. The MN handles the </w:t>
      </w:r>
      <w:r>
        <w:rPr>
          <w:i/>
        </w:rPr>
        <w:t>SCGFailureInformati</w:t>
      </w:r>
      <w:r>
        <w:rPr>
          <w:i/>
        </w:rPr>
        <w:t>on</w:t>
      </w:r>
      <w:r>
        <w:t xml:space="preserve"> message and may decide to keep</w:t>
      </w:r>
      <w:r>
        <w:rPr>
          <w:rFonts w:hint="eastAsia"/>
        </w:rPr>
        <w:t>,</w:t>
      </w:r>
      <w:r>
        <w:t xml:space="preserve"> change, or release the SN/SCG. T</w:t>
      </w:r>
      <w:r>
        <w:rPr>
          <w:rFonts w:hint="eastAsia"/>
        </w:rPr>
        <w:t>h</w:t>
      </w:r>
      <w:r>
        <w:t xml:space="preserve">e measurement results according to the SN configuration and the SCG failure type may be forwarded to the old SN and/or to the new SN. </w:t>
      </w:r>
    </w:p>
    <w:p w:rsidR="00D12EB2" w:rsidRDefault="004B7C19">
      <w:pPr>
        <w:rPr>
          <w:lang w:val="de-DE"/>
        </w:rPr>
      </w:pPr>
      <w:r>
        <w:t xml:space="preserve">On the other hand, </w:t>
      </w:r>
      <w:r>
        <w:rPr>
          <w:lang w:val="de-DE"/>
        </w:rPr>
        <w:t xml:space="preserve">upon reception of </w:t>
      </w:r>
      <w:r>
        <w:rPr>
          <w:i/>
        </w:rPr>
        <w:t>SCGFailureInform</w:t>
      </w:r>
      <w:r>
        <w:rPr>
          <w:i/>
        </w:rPr>
        <w:t xml:space="preserve">ation </w:t>
      </w:r>
      <w:r>
        <w:rPr>
          <w:lang w:val="de-DE"/>
        </w:rPr>
        <w:t xml:space="preserve">from </w:t>
      </w:r>
      <w:r>
        <w:t>UE</w:t>
      </w:r>
      <w:r>
        <w:rPr>
          <w:lang w:val="de-DE"/>
        </w:rPr>
        <w:t>, MN perform initial analysis, determines the failure type and forwards the SCG failure inforamtion to the corresponding node which caused the failure for further optimization.</w:t>
      </w:r>
    </w:p>
    <w:p w:rsidR="00D12EB2" w:rsidRDefault="004B7C19">
      <w:r>
        <w:rPr>
          <w:lang w:val="de-DE"/>
        </w:rPr>
        <w:t xml:space="preserve">The issue appears that the current </w:t>
      </w:r>
      <w:r>
        <w:rPr>
          <w:i/>
        </w:rPr>
        <w:t xml:space="preserve">SCGFailureInformation </w:t>
      </w:r>
      <w:r>
        <w:t>is not</w:t>
      </w:r>
      <w:r>
        <w:rPr>
          <w:i/>
        </w:rPr>
        <w:t xml:space="preserve"> </w:t>
      </w:r>
      <w:r>
        <w:t>su</w:t>
      </w:r>
      <w:r>
        <w:t>fficient for the optimization purpose in the CPAC failure scenarios.</w:t>
      </w:r>
      <w:r>
        <w:rPr>
          <w:lang w:val="de-DE"/>
        </w:rPr>
        <w:t xml:space="preserve"> Since CPAC is similar to CHO, the information collected for MRO for CPAC can be also similar to R17 MRO for CHO. One things to differentiate UE reporting for CPAC and CHO is that, </w:t>
      </w:r>
      <w:r>
        <w:t>immedia</w:t>
      </w:r>
      <w:r>
        <w:t xml:space="preserve">te reporting mechanism for </w:t>
      </w:r>
      <w:r>
        <w:rPr>
          <w:i/>
        </w:rPr>
        <w:t>SCGFailureInformation</w:t>
      </w:r>
      <w:r>
        <w:t xml:space="preserve"> regarding CPAC and delayed reporting mechanism for RLF report regarding CHO. At the time of transmitting </w:t>
      </w:r>
      <w:r>
        <w:rPr>
          <w:i/>
        </w:rPr>
        <w:t xml:space="preserve">SCGFailureInformation </w:t>
      </w:r>
      <w:r>
        <w:t>message</w:t>
      </w:r>
      <w:r>
        <w:rPr>
          <w:i/>
        </w:rPr>
        <w:t xml:space="preserve">, </w:t>
      </w:r>
      <w:r>
        <w:t xml:space="preserve">the UE context is always available at the network side. Upon reception </w:t>
      </w:r>
      <w:r>
        <w:t xml:space="preserve">of </w:t>
      </w:r>
      <w:r>
        <w:rPr>
          <w:i/>
        </w:rPr>
        <w:t xml:space="preserve">SCGFailureInformation </w:t>
      </w:r>
      <w:r>
        <w:t>message, MN could make a decision of failure handling solution. On the other hand, the node receiving RLF report is most likely to have no knowledge of corresponding UE context. Thus network depends more on UE reporting.</w:t>
      </w:r>
    </w:p>
    <w:p w:rsidR="00D12EB2" w:rsidRDefault="004B7C19">
      <w:r>
        <w:t>In additio</w:t>
      </w:r>
      <w:r>
        <w:t xml:space="preserve">n, some companies have concerns about increasing the size of </w:t>
      </w:r>
      <w:r>
        <w:rPr>
          <w:bCs/>
          <w:color w:val="000000" w:themeColor="text1"/>
          <w:sz w:val="22"/>
        </w:rPr>
        <w:t>SCGFailureInformation by adding information used for MRO purpose. So we would rather think about the enhancement in the perspective of minimizing the added information.</w:t>
      </w:r>
    </w:p>
    <w:p w:rsidR="00D12EB2" w:rsidRDefault="004B7C19">
      <w:pPr>
        <w:rPr>
          <w:lang w:val="de-DE"/>
        </w:rPr>
      </w:pPr>
      <w:r>
        <w:rPr>
          <w:lang w:val="de-DE"/>
        </w:rPr>
        <w:t>So for, t</w:t>
      </w:r>
      <w:r>
        <w:rPr>
          <w:rFonts w:hint="eastAsia"/>
          <w:lang w:val="de-DE"/>
        </w:rPr>
        <w:t>h</w:t>
      </w:r>
      <w:r>
        <w:rPr>
          <w:lang w:val="de-DE"/>
        </w:rPr>
        <w:t xml:space="preserve">e potential SCG </w:t>
      </w:r>
      <w:r>
        <w:rPr>
          <w:lang w:val="de-DE"/>
        </w:rPr>
        <w:t>failure related information reported from UE for MRO for CPAC has been summarized as below:</w:t>
      </w:r>
    </w:p>
    <w:p w:rsidR="00D12EB2" w:rsidRDefault="004B7C19">
      <w:pPr>
        <w:pStyle w:val="aff6"/>
        <w:numPr>
          <w:ilvl w:val="0"/>
          <w:numId w:val="6"/>
        </w:numPr>
        <w:spacing w:line="256" w:lineRule="auto"/>
        <w:ind w:firstLineChars="0"/>
        <w:contextualSpacing/>
        <w:rPr>
          <w:sz w:val="22"/>
          <w:lang w:val="de-DE"/>
        </w:rPr>
      </w:pPr>
      <w:r>
        <w:rPr>
          <w:sz w:val="22"/>
          <w:lang w:val="de-DE"/>
        </w:rPr>
        <w:t xml:space="preserve">CPAC execution condition(s) fulfilled </w:t>
      </w:r>
    </w:p>
    <w:p w:rsidR="00D12EB2" w:rsidRDefault="004B7C19">
      <w:pPr>
        <w:pStyle w:val="aff6"/>
        <w:numPr>
          <w:ilvl w:val="0"/>
          <w:numId w:val="6"/>
        </w:numPr>
        <w:spacing w:line="256" w:lineRule="auto"/>
        <w:ind w:firstLineChars="0"/>
        <w:contextualSpacing/>
        <w:rPr>
          <w:sz w:val="22"/>
          <w:lang w:val="de-DE"/>
        </w:rPr>
      </w:pPr>
      <w:r>
        <w:rPr>
          <w:sz w:val="22"/>
          <w:lang w:val="de-DE"/>
        </w:rPr>
        <w:t>Time between fulfillment of the two triggering events</w:t>
      </w:r>
    </w:p>
    <w:p w:rsidR="00D12EB2" w:rsidRDefault="004B7C19">
      <w:pPr>
        <w:pStyle w:val="aff6"/>
        <w:numPr>
          <w:ilvl w:val="0"/>
          <w:numId w:val="6"/>
        </w:numPr>
        <w:spacing w:line="256" w:lineRule="auto"/>
        <w:ind w:firstLineChars="0"/>
        <w:contextualSpacing/>
        <w:rPr>
          <w:sz w:val="22"/>
          <w:lang w:val="de-DE"/>
        </w:rPr>
      </w:pPr>
      <w:r>
        <w:rPr>
          <w:sz w:val="22"/>
          <w:lang w:val="de-DE"/>
        </w:rPr>
        <w:t>time elapsed since the last CPC configuration until SCG failure</w:t>
      </w:r>
    </w:p>
    <w:p w:rsidR="00D12EB2" w:rsidRDefault="004B7C19">
      <w:pPr>
        <w:pStyle w:val="aff6"/>
        <w:numPr>
          <w:ilvl w:val="0"/>
          <w:numId w:val="6"/>
        </w:numPr>
        <w:spacing w:line="256" w:lineRule="auto"/>
        <w:ind w:firstLineChars="0"/>
        <w:contextualSpacing/>
        <w:rPr>
          <w:sz w:val="22"/>
          <w:lang w:val="de-DE"/>
        </w:rPr>
      </w:pPr>
      <w:r>
        <w:rPr>
          <w:sz w:val="22"/>
          <w:lang w:val="de-DE"/>
        </w:rPr>
        <w:t>time el</w:t>
      </w:r>
      <w:r>
        <w:rPr>
          <w:sz w:val="22"/>
          <w:lang w:val="de-DE"/>
        </w:rPr>
        <w:t>apsed since CPAC execution until SCG failure</w:t>
      </w:r>
    </w:p>
    <w:p w:rsidR="00D12EB2" w:rsidRDefault="004B7C19">
      <w:pPr>
        <w:pStyle w:val="aff6"/>
        <w:numPr>
          <w:ilvl w:val="0"/>
          <w:numId w:val="6"/>
        </w:numPr>
        <w:spacing w:line="256" w:lineRule="auto"/>
        <w:ind w:firstLineChars="0"/>
        <w:contextualSpacing/>
        <w:rPr>
          <w:sz w:val="22"/>
          <w:lang w:val="de-DE"/>
        </w:rPr>
      </w:pPr>
      <w:r>
        <w:rPr>
          <w:sz w:val="22"/>
          <w:lang w:val="de-DE"/>
        </w:rPr>
        <w:t>time elapsed between the CPAC execution towards the target PSCell and the corresponding latest CPAC configuration is received for the target PSCell</w:t>
      </w:r>
    </w:p>
    <w:p w:rsidR="00D12EB2" w:rsidRDefault="004B7C19">
      <w:pPr>
        <w:pStyle w:val="aff6"/>
        <w:numPr>
          <w:ilvl w:val="0"/>
          <w:numId w:val="6"/>
        </w:numPr>
        <w:spacing w:line="256" w:lineRule="auto"/>
        <w:ind w:firstLineChars="0"/>
        <w:contextualSpacing/>
        <w:rPr>
          <w:sz w:val="22"/>
          <w:lang w:val="de-DE"/>
        </w:rPr>
      </w:pPr>
      <w:r>
        <w:rPr>
          <w:sz w:val="22"/>
          <w:lang w:val="de-DE"/>
        </w:rPr>
        <w:t>the type of PSCell addition/change, i.e. CPA or CPC</w:t>
      </w:r>
    </w:p>
    <w:p w:rsidR="00D12EB2" w:rsidRDefault="004B7C19">
      <w:pPr>
        <w:pStyle w:val="aff6"/>
        <w:numPr>
          <w:ilvl w:val="0"/>
          <w:numId w:val="6"/>
        </w:numPr>
        <w:spacing w:line="256" w:lineRule="auto"/>
        <w:ind w:firstLineChars="0"/>
        <w:contextualSpacing/>
        <w:rPr>
          <w:sz w:val="22"/>
          <w:lang w:val="de-DE"/>
        </w:rPr>
      </w:pPr>
      <w:r>
        <w:rPr>
          <w:sz w:val="22"/>
          <w:lang w:val="de-DE"/>
        </w:rPr>
        <w:t xml:space="preserve">the target </w:t>
      </w:r>
      <w:r>
        <w:rPr>
          <w:sz w:val="22"/>
          <w:lang w:val="de-DE"/>
        </w:rPr>
        <w:t>cell towards which the CPAC was executed</w:t>
      </w:r>
    </w:p>
    <w:p w:rsidR="00D12EB2" w:rsidRDefault="004B7C19">
      <w:pPr>
        <w:pStyle w:val="aff6"/>
        <w:numPr>
          <w:ilvl w:val="0"/>
          <w:numId w:val="6"/>
        </w:numPr>
        <w:spacing w:line="256" w:lineRule="auto"/>
        <w:ind w:firstLineChars="0"/>
        <w:contextualSpacing/>
        <w:rPr>
          <w:sz w:val="22"/>
          <w:lang w:val="de-DE"/>
        </w:rPr>
      </w:pPr>
      <w:r>
        <w:rPr>
          <w:sz w:val="22"/>
          <w:lang w:val="de-DE"/>
        </w:rPr>
        <w:t>the node (i.e., MN or SN) that initiates the CPC</w:t>
      </w:r>
    </w:p>
    <w:p w:rsidR="00D12EB2" w:rsidRDefault="004B7C19">
      <w:pPr>
        <w:pStyle w:val="aff6"/>
        <w:numPr>
          <w:ilvl w:val="0"/>
          <w:numId w:val="6"/>
        </w:numPr>
        <w:spacing w:line="256" w:lineRule="auto"/>
        <w:ind w:firstLineChars="0"/>
        <w:contextualSpacing/>
        <w:rPr>
          <w:sz w:val="22"/>
          <w:lang w:val="de-DE"/>
        </w:rPr>
      </w:pPr>
      <w:r>
        <w:rPr>
          <w:sz w:val="22"/>
          <w:lang w:val="de-DE"/>
        </w:rPr>
        <w:t>the first satisfied event or condition</w:t>
      </w:r>
    </w:p>
    <w:p w:rsidR="00D12EB2" w:rsidRDefault="004B7C19">
      <w:pPr>
        <w:pStyle w:val="aff6"/>
        <w:numPr>
          <w:ilvl w:val="0"/>
          <w:numId w:val="6"/>
        </w:numPr>
        <w:spacing w:line="256" w:lineRule="auto"/>
        <w:ind w:firstLineChars="0"/>
        <w:contextualSpacing/>
        <w:rPr>
          <w:sz w:val="22"/>
          <w:lang w:val="de-DE"/>
        </w:rPr>
      </w:pPr>
      <w:r>
        <w:rPr>
          <w:sz w:val="22"/>
          <w:lang w:val="de-DE"/>
        </w:rPr>
        <w:t>the latest radio measurement results, and include an indication on whether a measured neighbour cell was configured as a CPAC c</w:t>
      </w:r>
      <w:r>
        <w:rPr>
          <w:sz w:val="22"/>
          <w:lang w:val="de-DE"/>
        </w:rPr>
        <w:t xml:space="preserve">andidate or not </w:t>
      </w:r>
    </w:p>
    <w:p w:rsidR="00D12EB2" w:rsidRDefault="004B7C19">
      <w:pPr>
        <w:pStyle w:val="aff6"/>
        <w:numPr>
          <w:ilvl w:val="0"/>
          <w:numId w:val="6"/>
        </w:numPr>
        <w:spacing w:line="256" w:lineRule="auto"/>
        <w:ind w:firstLineChars="0"/>
        <w:contextualSpacing/>
        <w:rPr>
          <w:sz w:val="22"/>
          <w:lang w:val="de-DE"/>
        </w:rPr>
      </w:pPr>
      <w:r>
        <w:rPr>
          <w:sz w:val="22"/>
          <w:lang w:val="de-DE"/>
        </w:rPr>
        <w:t xml:space="preserve">list of candidate PSCell Ids </w:t>
      </w:r>
    </w:p>
    <w:p w:rsidR="00D12EB2" w:rsidRDefault="004B7C19">
      <w:pPr>
        <w:pStyle w:val="aff6"/>
        <w:numPr>
          <w:ilvl w:val="0"/>
          <w:numId w:val="6"/>
        </w:numPr>
        <w:spacing w:line="256" w:lineRule="auto"/>
        <w:ind w:firstLineChars="0"/>
        <w:contextualSpacing/>
        <w:rPr>
          <w:sz w:val="22"/>
          <w:lang w:val="de-DE"/>
        </w:rPr>
      </w:pPr>
      <w:r>
        <w:rPr>
          <w:sz w:val="22"/>
          <w:lang w:val="de-DE"/>
        </w:rPr>
        <w:t>configured CPC execution condition(s)</w:t>
      </w:r>
    </w:p>
    <w:p w:rsidR="00DA710E" w:rsidRDefault="00DA710E">
      <w:pPr>
        <w:spacing w:line="256" w:lineRule="auto"/>
        <w:ind w:left="426"/>
        <w:contextualSpacing/>
        <w:rPr>
          <w:sz w:val="22"/>
          <w:lang w:val="de-DE"/>
        </w:rPr>
      </w:pPr>
    </w:p>
    <w:p w:rsidR="00D12EB2" w:rsidRDefault="004B7C19" w:rsidP="00DA710E">
      <w:pPr>
        <w:spacing w:line="256" w:lineRule="auto"/>
        <w:contextualSpacing/>
        <w:rPr>
          <w:sz w:val="22"/>
          <w:lang w:val="de-DE"/>
        </w:rPr>
      </w:pPr>
      <w:r>
        <w:rPr>
          <w:sz w:val="22"/>
          <w:lang w:val="de-DE"/>
        </w:rPr>
        <w:t>In our understanding, the timer related information 3),4) and 5) could be derived by MN based on transmission of RRC messages and reception of RRC messages, even though it</w:t>
      </w:r>
      <w:r>
        <w:rPr>
          <w:sz w:val="22"/>
          <w:lang w:val="de-DE"/>
        </w:rPr>
        <w:t xml:space="preserve"> is not as accurate as that of UE reporting. For example, MN could derive time elapseing since the last CPC configuration until SCG failure by compute time between transmission of RRCReconfig containing CPAC config and reception of SCG failure inforamtion.</w:t>
      </w:r>
    </w:p>
    <w:p w:rsidR="00D12EB2" w:rsidRDefault="004B7C19" w:rsidP="00DA710E">
      <w:pPr>
        <w:spacing w:line="256" w:lineRule="auto"/>
        <w:contextualSpacing/>
        <w:rPr>
          <w:sz w:val="22"/>
          <w:lang w:val="de-DE"/>
        </w:rPr>
      </w:pPr>
      <w:r>
        <w:rPr>
          <w:sz w:val="22"/>
          <w:lang w:val="de-DE"/>
        </w:rPr>
        <w:t>MN could also have idea of (6), (7) and (8) based on UE context.</w:t>
      </w:r>
    </w:p>
    <w:p w:rsidR="00D12EB2" w:rsidRDefault="00D12EB2">
      <w:pPr>
        <w:spacing w:line="256" w:lineRule="auto"/>
        <w:contextualSpacing/>
        <w:rPr>
          <w:b/>
        </w:rPr>
      </w:pPr>
    </w:p>
    <w:p w:rsidR="00D12EB2" w:rsidRDefault="004B7C19">
      <w:pPr>
        <w:spacing w:line="256" w:lineRule="auto"/>
        <w:contextualSpacing/>
        <w:rPr>
          <w:b/>
        </w:rPr>
      </w:pPr>
      <w:r>
        <w:rPr>
          <w:b/>
        </w:rPr>
        <w:t>Observation 3: 3)~ 8</w:t>
      </w:r>
      <w:r>
        <w:rPr>
          <w:rFonts w:hint="eastAsia"/>
          <w:b/>
        </w:rPr>
        <w:t>)</w:t>
      </w:r>
      <w:r>
        <w:rPr>
          <w:b/>
        </w:rPr>
        <w:t xml:space="preserve"> could be derived by network for MRO for CPAC without UE reporting them.  </w:t>
      </w:r>
    </w:p>
    <w:p w:rsidR="00D12EB2" w:rsidRDefault="00D12EB2">
      <w:pPr>
        <w:spacing w:line="256" w:lineRule="auto"/>
        <w:contextualSpacing/>
        <w:rPr>
          <w:sz w:val="22"/>
          <w:lang w:val="de-DE"/>
        </w:rPr>
      </w:pPr>
    </w:p>
    <w:p w:rsidR="00D12EB2" w:rsidRDefault="004B7C19">
      <w:pPr>
        <w:spacing w:line="256" w:lineRule="auto"/>
        <w:contextualSpacing/>
        <w:rPr>
          <w:b/>
        </w:rPr>
      </w:pPr>
      <w:r>
        <w:rPr>
          <w:sz w:val="22"/>
          <w:lang w:val="de-DE"/>
        </w:rPr>
        <w:lastRenderedPageBreak/>
        <w:t>As for 11) and 12</w:t>
      </w:r>
      <w:r>
        <w:rPr>
          <w:rFonts w:hint="eastAsia"/>
          <w:sz w:val="22"/>
          <w:lang w:val="de-DE"/>
        </w:rPr>
        <w:t>)</w:t>
      </w:r>
      <w:r>
        <w:rPr>
          <w:sz w:val="22"/>
          <w:lang w:val="de-DE"/>
        </w:rPr>
        <w:t>, it needs to be analyzed case by case. In case</w:t>
      </w:r>
      <w:r>
        <w:rPr>
          <w:rFonts w:hint="eastAsia"/>
          <w:sz w:val="22"/>
          <w:lang w:val="de-DE"/>
        </w:rPr>
        <w:t xml:space="preserve"> </w:t>
      </w:r>
      <w:r>
        <w:rPr>
          <w:sz w:val="22"/>
          <w:lang w:val="de-DE"/>
        </w:rPr>
        <w:t>of MN initated CPAC, after</w:t>
      </w:r>
      <w:r>
        <w:rPr>
          <w:sz w:val="22"/>
          <w:lang w:val="de-DE"/>
        </w:rPr>
        <w:t xml:space="preserve"> UE declares SCG failure related to CPAC, MN can get CPAC configuration from UE context, e.g., list of candidate PSCell Ids and configured CPC execution condition(s).</w:t>
      </w:r>
      <w:r>
        <w:rPr>
          <w:sz w:val="22"/>
        </w:rPr>
        <w:t xml:space="preserve"> </w:t>
      </w:r>
      <w:r>
        <w:rPr>
          <w:sz w:val="22"/>
          <w:lang w:val="de-DE"/>
        </w:rPr>
        <w:t>In case</w:t>
      </w:r>
      <w:r>
        <w:rPr>
          <w:rFonts w:hint="eastAsia"/>
          <w:sz w:val="22"/>
          <w:lang w:val="de-DE"/>
        </w:rPr>
        <w:t xml:space="preserve"> </w:t>
      </w:r>
      <w:r>
        <w:rPr>
          <w:sz w:val="22"/>
          <w:lang w:val="de-DE"/>
        </w:rPr>
        <w:t>of</w:t>
      </w:r>
      <w:r>
        <w:rPr>
          <w:sz w:val="22"/>
        </w:rPr>
        <w:t xml:space="preserve"> SN</w:t>
      </w:r>
      <w:r>
        <w:rPr>
          <w:sz w:val="22"/>
          <w:lang w:val="de-DE"/>
        </w:rPr>
        <w:t xml:space="preserve"> initated CPC, after UE </w:t>
      </w:r>
      <w:r>
        <w:rPr>
          <w:sz w:val="22"/>
        </w:rPr>
        <w:t>encounters source SCG RLF before triggering CPC or C</w:t>
      </w:r>
      <w:r>
        <w:rPr>
          <w:sz w:val="22"/>
        </w:rPr>
        <w:t>PC execution failure</w:t>
      </w:r>
      <w:r>
        <w:rPr>
          <w:sz w:val="22"/>
          <w:lang w:val="de-DE"/>
        </w:rPr>
        <w:t xml:space="preserve">, </w:t>
      </w:r>
      <w:r>
        <w:rPr>
          <w:sz w:val="22"/>
        </w:rPr>
        <w:t>source SN</w:t>
      </w:r>
      <w:r>
        <w:rPr>
          <w:sz w:val="22"/>
          <w:lang w:val="de-DE"/>
        </w:rPr>
        <w:t xml:space="preserve"> can get CPAC configuration from UE context</w:t>
      </w:r>
      <w:r>
        <w:rPr>
          <w:sz w:val="22"/>
        </w:rPr>
        <w:t xml:space="preserve">. </w:t>
      </w:r>
      <w:r>
        <w:rPr>
          <w:sz w:val="22"/>
          <w:lang w:val="de-DE"/>
        </w:rPr>
        <w:t>In case</w:t>
      </w:r>
      <w:r>
        <w:rPr>
          <w:rFonts w:hint="eastAsia"/>
          <w:sz w:val="22"/>
          <w:lang w:val="de-DE"/>
        </w:rPr>
        <w:t xml:space="preserve"> </w:t>
      </w:r>
      <w:r>
        <w:rPr>
          <w:sz w:val="22"/>
          <w:lang w:val="de-DE"/>
        </w:rPr>
        <w:t xml:space="preserve">of SN initated CPC, after UE successfully executes CPC towards target PSCell and shortly declares SCG RLF in target PSCell, </w:t>
      </w:r>
      <w:r>
        <w:rPr>
          <w:sz w:val="22"/>
        </w:rPr>
        <w:t>UE</w:t>
      </w:r>
      <w:r>
        <w:rPr>
          <w:sz w:val="22"/>
          <w:lang w:val="de-DE"/>
        </w:rPr>
        <w:t xml:space="preserve"> has released</w:t>
      </w:r>
      <w:r>
        <w:rPr>
          <w:sz w:val="22"/>
        </w:rPr>
        <w:t xml:space="preserve"> the </w:t>
      </w:r>
      <w:r>
        <w:rPr>
          <w:sz w:val="22"/>
          <w:lang w:val="de-DE"/>
        </w:rPr>
        <w:t>CPAC conf</w:t>
      </w:r>
      <w:r>
        <w:rPr>
          <w:sz w:val="22"/>
        </w:rPr>
        <w:t>i</w:t>
      </w:r>
      <w:r>
        <w:rPr>
          <w:sz w:val="22"/>
          <w:lang w:val="de-DE"/>
        </w:rPr>
        <w:t>guration</w:t>
      </w:r>
      <w:r>
        <w:rPr>
          <w:sz w:val="22"/>
        </w:rPr>
        <w:t xml:space="preserve"> and could</w:t>
      </w:r>
      <w:r>
        <w:rPr>
          <w:sz w:val="22"/>
        </w:rPr>
        <w:t xml:space="preserve"> not report it to network, and meanwhile </w:t>
      </w:r>
      <w:r w:rsidR="00924929">
        <w:rPr>
          <w:sz w:val="22"/>
        </w:rPr>
        <w:t>source</w:t>
      </w:r>
      <w:r>
        <w:rPr>
          <w:sz w:val="22"/>
        </w:rPr>
        <w:t xml:space="preserve"> SN has released UE context. </w:t>
      </w:r>
      <w:r>
        <w:rPr>
          <w:sz w:val="22"/>
          <w:lang w:val="de-DE"/>
        </w:rPr>
        <w:t xml:space="preserve">This way </w:t>
      </w:r>
      <w:r>
        <w:rPr>
          <w:sz w:val="22"/>
        </w:rPr>
        <w:t xml:space="preserve">MN needs to </w:t>
      </w:r>
      <w:r w:rsidR="00924929">
        <w:rPr>
          <w:sz w:val="22"/>
        </w:rPr>
        <w:t>retrieve</w:t>
      </w:r>
      <w:r>
        <w:rPr>
          <w:sz w:val="22"/>
        </w:rPr>
        <w:t xml:space="preserve"> the CPAC configuration from inter-node coordination message between MN and source SN during the SN initiated CPC procedure, </w:t>
      </w:r>
      <w:r w:rsidR="00924929">
        <w:rPr>
          <w:sz w:val="22"/>
        </w:rPr>
        <w:t>similar</w:t>
      </w:r>
      <w:r>
        <w:rPr>
          <w:sz w:val="22"/>
        </w:rPr>
        <w:t xml:space="preserve"> as CHO </w:t>
      </w:r>
      <w:r w:rsidR="00924929">
        <w:rPr>
          <w:sz w:val="22"/>
        </w:rPr>
        <w:t>configuration</w:t>
      </w:r>
      <w:r>
        <w:rPr>
          <w:sz w:val="22"/>
        </w:rPr>
        <w:t xml:space="preserve"> retrieval mechanism in Rel-17. </w:t>
      </w:r>
    </w:p>
    <w:p w:rsidR="00D12EB2" w:rsidRDefault="00D12EB2">
      <w:pPr>
        <w:spacing w:line="256" w:lineRule="auto"/>
        <w:contextualSpacing/>
        <w:rPr>
          <w:b/>
        </w:rPr>
      </w:pPr>
    </w:p>
    <w:p w:rsidR="00D12EB2" w:rsidRDefault="004B7C19">
      <w:pPr>
        <w:spacing w:line="256" w:lineRule="auto"/>
        <w:contextualSpacing/>
        <w:rPr>
          <w:b/>
          <w:bCs/>
          <w:szCs w:val="18"/>
        </w:rPr>
      </w:pPr>
      <w:r>
        <w:rPr>
          <w:b/>
          <w:bCs/>
          <w:szCs w:val="18"/>
        </w:rPr>
        <w:t>Observation 4: 11)~12) could not be reported by UE for MRO for CPAC when UE successfully executes CPC towards target PSCell and shortly declares SCG RLF in target PSCell in SN initiated CPC procedure.</w:t>
      </w:r>
    </w:p>
    <w:p w:rsidR="00D12EB2" w:rsidRDefault="00D12EB2">
      <w:pPr>
        <w:spacing w:line="256" w:lineRule="auto"/>
        <w:contextualSpacing/>
        <w:rPr>
          <w:b/>
          <w:bCs/>
          <w:szCs w:val="18"/>
        </w:rPr>
      </w:pPr>
    </w:p>
    <w:p w:rsidR="00D12EB2" w:rsidRDefault="004B7C19">
      <w:pPr>
        <w:spacing w:line="256" w:lineRule="auto"/>
        <w:contextualSpacing/>
        <w:rPr>
          <w:b/>
          <w:bCs/>
          <w:szCs w:val="18"/>
        </w:rPr>
      </w:pPr>
      <w:bookmarkStart w:id="6" w:name="OLE_LINK2"/>
      <w:r>
        <w:rPr>
          <w:b/>
          <w:bCs/>
          <w:szCs w:val="18"/>
        </w:rPr>
        <w:t>Proposal 6</w:t>
      </w:r>
      <w:bookmarkEnd w:id="6"/>
      <w:r>
        <w:rPr>
          <w:b/>
          <w:bCs/>
          <w:szCs w:val="18"/>
        </w:rPr>
        <w:t>: 11)~1</w:t>
      </w:r>
      <w:r>
        <w:rPr>
          <w:b/>
          <w:bCs/>
          <w:szCs w:val="18"/>
        </w:rPr>
        <w:t>2) needs to be retrieved by network from inter-node coordination message between MN and source SN during the SN initiated CPC procedure for MRO for CPAC when UE successfully executes CPC towards target PSCell and shortly declares SCG RLF in target PSCell i</w:t>
      </w:r>
      <w:r>
        <w:rPr>
          <w:b/>
          <w:bCs/>
          <w:szCs w:val="18"/>
        </w:rPr>
        <w:t>n SN initiated CPC procedure.</w:t>
      </w:r>
    </w:p>
    <w:p w:rsidR="00D12EB2" w:rsidRDefault="00D12EB2">
      <w:pPr>
        <w:spacing w:line="256" w:lineRule="auto"/>
        <w:contextualSpacing/>
        <w:rPr>
          <w:b/>
        </w:rPr>
      </w:pPr>
    </w:p>
    <w:p w:rsidR="00D12EB2" w:rsidRDefault="004B7C19">
      <w:pPr>
        <w:spacing w:line="256" w:lineRule="auto"/>
        <w:contextualSpacing/>
        <w:rPr>
          <w:b/>
        </w:rPr>
      </w:pPr>
      <w:r>
        <w:rPr>
          <w:b/>
        </w:rPr>
        <w:t>Proposal 7: 11)~12) could be derived by network from UE context in case of CPA failure, MN initiated CPC failure and SN initiated CPC failure.</w:t>
      </w:r>
    </w:p>
    <w:p w:rsidR="00D12EB2" w:rsidRDefault="00D12EB2">
      <w:pPr>
        <w:spacing w:line="256" w:lineRule="auto"/>
        <w:contextualSpacing/>
        <w:rPr>
          <w:b/>
        </w:rPr>
      </w:pPr>
    </w:p>
    <w:p w:rsidR="00D12EB2" w:rsidRDefault="004B7C19">
      <w:pPr>
        <w:spacing w:line="256" w:lineRule="auto"/>
        <w:contextualSpacing/>
        <w:rPr>
          <w:b/>
        </w:rPr>
      </w:pPr>
      <w:r>
        <w:rPr>
          <w:b/>
        </w:rPr>
        <w:t>Proposal 8: 1), 2), 9) and 10) need to be reported by UE for MRO for CPAC.</w:t>
      </w:r>
    </w:p>
    <w:p w:rsidR="00DA710E" w:rsidRDefault="00DA710E">
      <w:pPr>
        <w:spacing w:line="256" w:lineRule="auto"/>
        <w:contextualSpacing/>
        <w:rPr>
          <w:rFonts w:hint="eastAsia"/>
          <w:sz w:val="22"/>
          <w:lang w:val="de-DE"/>
        </w:rPr>
      </w:pPr>
    </w:p>
    <w:p w:rsidR="00D12EB2" w:rsidRPr="00DA710E" w:rsidRDefault="004B7C19" w:rsidP="00DA710E">
      <w:pPr>
        <w:pStyle w:val="2"/>
      </w:pPr>
      <w:r>
        <w:t>MRO fo</w:t>
      </w:r>
      <w:r>
        <w:t>r fast MCG recovery</w:t>
      </w:r>
    </w:p>
    <w:p w:rsidR="00D12EB2" w:rsidRDefault="004B7C19">
      <w:pPr>
        <w:rPr>
          <w:rFonts w:ascii="Calibri" w:hAnsi="Calibri" w:cs="Calibri"/>
          <w:color w:val="000000"/>
          <w:sz w:val="18"/>
          <w:szCs w:val="18"/>
          <w:u w:val="single"/>
        </w:rPr>
      </w:pPr>
      <w:r>
        <w:rPr>
          <w:rFonts w:ascii="Calibri" w:hAnsi="Calibri" w:cs="Calibri"/>
          <w:color w:val="000000"/>
          <w:sz w:val="18"/>
          <w:szCs w:val="18"/>
          <w:u w:val="single"/>
        </w:rPr>
        <w:t>MRO for the fast MCG recovery</w:t>
      </w:r>
    </w:p>
    <w:p w:rsidR="00D12EB2" w:rsidRDefault="004B7C19">
      <w:r>
        <w:t>RAN3</w:t>
      </w:r>
      <w:r>
        <w:rPr>
          <w:rFonts w:hint="eastAsia"/>
        </w:rPr>
        <w:t>#</w:t>
      </w:r>
      <w:r>
        <w:t>117bis:</w:t>
      </w:r>
    </w:p>
    <w:p w:rsidR="00D12EB2" w:rsidRDefault="004B7C19">
      <w:pPr>
        <w:rPr>
          <w:rFonts w:ascii="Calibri" w:hAnsi="Calibri" w:cs="Calibri"/>
          <w:color w:val="000000"/>
          <w:sz w:val="18"/>
          <w:szCs w:val="18"/>
          <w:u w:val="single"/>
        </w:rPr>
      </w:pPr>
      <w:r>
        <w:rPr>
          <w:rFonts w:ascii="Calibri" w:hAnsi="Calibri" w:cs="Calibri"/>
          <w:b/>
          <w:color w:val="0000FF"/>
          <w:sz w:val="18"/>
          <w:szCs w:val="18"/>
        </w:rPr>
        <w:t>FFS on fast MCG recovery</w:t>
      </w:r>
    </w:p>
    <w:p w:rsidR="00D12EB2" w:rsidRDefault="004B7C19">
      <w:pPr>
        <w:rPr>
          <w:rFonts w:ascii="Calibri" w:hAnsi="Calibri" w:cs="Calibri"/>
          <w:color w:val="000000"/>
          <w:sz w:val="18"/>
          <w:szCs w:val="18"/>
          <w:u w:val="single"/>
        </w:rPr>
      </w:pPr>
      <w:r>
        <w:t>RAN3</w:t>
      </w:r>
      <w:r>
        <w:rPr>
          <w:rFonts w:hint="eastAsia"/>
        </w:rPr>
        <w:t>#</w:t>
      </w:r>
      <w:r>
        <w:t>117 has agreed case a and case b for MRO for fast MCG recovery.</w:t>
      </w:r>
    </w:p>
    <w:p w:rsidR="00D12EB2" w:rsidRDefault="004B7C19">
      <w:pPr>
        <w:ind w:firstLine="284"/>
        <w:rPr>
          <w:rFonts w:ascii="Calibri" w:eastAsia="等线" w:hAnsi="Calibri" w:cs="Calibri"/>
          <w:bCs/>
          <w:color w:val="008000"/>
          <w:sz w:val="18"/>
        </w:rPr>
      </w:pPr>
      <w:r>
        <w:rPr>
          <w:rFonts w:ascii="Calibri" w:eastAsia="等线" w:hAnsi="Calibri" w:cs="Calibri"/>
          <w:bCs/>
          <w:color w:val="008000"/>
          <w:sz w:val="18"/>
        </w:rPr>
        <w:t xml:space="preserve">MRO for the fast MCG recovery: </w:t>
      </w:r>
    </w:p>
    <w:p w:rsidR="00D12EB2" w:rsidRDefault="004B7C19">
      <w:pPr>
        <w:pStyle w:val="aff6"/>
        <w:numPr>
          <w:ilvl w:val="1"/>
          <w:numId w:val="7"/>
        </w:numPr>
        <w:spacing w:before="100" w:beforeAutospacing="1" w:after="120" w:line="256" w:lineRule="auto"/>
        <w:ind w:firstLineChars="0"/>
        <w:contextualSpacing/>
        <w:rPr>
          <w:rFonts w:ascii="Calibri" w:eastAsia="等线" w:hAnsi="Calibri" w:cs="Calibri"/>
          <w:bCs/>
          <w:color w:val="008000"/>
          <w:sz w:val="18"/>
        </w:rPr>
      </w:pPr>
      <w:r>
        <w:rPr>
          <w:rFonts w:ascii="Calibri" w:eastAsia="等线" w:hAnsi="Calibri" w:cs="Calibri"/>
          <w:bCs/>
          <w:color w:val="008000"/>
          <w:sz w:val="18"/>
        </w:rPr>
        <w:t xml:space="preserve">Case a: SCG fails or is deactivated when the UE attempts MCG recovery (i.e. a SCG failure/deactivation while T316 is running after MCG failure) </w:t>
      </w:r>
    </w:p>
    <w:p w:rsidR="00D12EB2" w:rsidRDefault="004B7C19">
      <w:pPr>
        <w:pStyle w:val="aff6"/>
        <w:numPr>
          <w:ilvl w:val="1"/>
          <w:numId w:val="7"/>
        </w:numPr>
        <w:spacing w:before="100" w:beforeAutospacing="1" w:after="120" w:line="256" w:lineRule="auto"/>
        <w:ind w:firstLineChars="0"/>
        <w:contextualSpacing/>
        <w:rPr>
          <w:rFonts w:ascii="Calibri" w:eastAsia="等线" w:hAnsi="Calibri" w:cs="Calibri"/>
          <w:bCs/>
          <w:color w:val="008000"/>
          <w:sz w:val="18"/>
        </w:rPr>
      </w:pPr>
      <w:r>
        <w:rPr>
          <w:rFonts w:ascii="Calibri" w:eastAsia="等线" w:hAnsi="Calibri" w:cs="Calibri"/>
          <w:bCs/>
          <w:color w:val="008000"/>
          <w:sz w:val="18"/>
        </w:rPr>
        <w:t xml:space="preserve">Case b: the signalling delay is longer than the time the UE waits for the response (T316 expired); </w:t>
      </w:r>
    </w:p>
    <w:p w:rsidR="00D12EB2" w:rsidRDefault="004B7C19">
      <w:pPr>
        <w:pStyle w:val="aff6"/>
        <w:numPr>
          <w:ilvl w:val="1"/>
          <w:numId w:val="7"/>
        </w:numPr>
        <w:spacing w:before="100" w:beforeAutospacing="1" w:after="120" w:line="256" w:lineRule="auto"/>
        <w:ind w:firstLineChars="0"/>
        <w:contextualSpacing/>
        <w:rPr>
          <w:rFonts w:ascii="Calibri" w:eastAsia="等线" w:hAnsi="Calibri" w:cs="Calibri"/>
          <w:bCs/>
          <w:color w:val="008000"/>
          <w:sz w:val="18"/>
        </w:rPr>
      </w:pPr>
      <w:r>
        <w:rPr>
          <w:rFonts w:ascii="Calibri" w:eastAsia="等线" w:hAnsi="Calibri" w:cs="Calibri"/>
          <w:bCs/>
          <w:color w:val="008000"/>
          <w:sz w:val="18"/>
        </w:rPr>
        <w:t>Case c: oth</w:t>
      </w:r>
      <w:r>
        <w:rPr>
          <w:rFonts w:ascii="Calibri" w:eastAsia="等线" w:hAnsi="Calibri" w:cs="Calibri"/>
          <w:bCs/>
          <w:color w:val="008000"/>
          <w:sz w:val="18"/>
        </w:rPr>
        <w:t>er problem are not precluded if legacy MRO mechanism cannot cope with it.</w:t>
      </w:r>
    </w:p>
    <w:p w:rsidR="00D12EB2" w:rsidRDefault="004B7C19">
      <w:pPr>
        <w:rPr>
          <w:rFonts w:eastAsia="MS Mincho"/>
          <w:lang w:eastAsia="ja-JP"/>
        </w:rPr>
      </w:pPr>
      <w:r>
        <w:rPr>
          <w:rFonts w:hint="eastAsia"/>
        </w:rPr>
        <w:t xml:space="preserve">T316 starts </w:t>
      </w:r>
      <w:r>
        <w:t xml:space="preserve">upon transmission of the </w:t>
      </w:r>
      <w:r>
        <w:rPr>
          <w:i/>
        </w:rPr>
        <w:t>MCGFailureInformation</w:t>
      </w:r>
      <w:r>
        <w:t xml:space="preserve"> message</w:t>
      </w:r>
      <w:r>
        <w:rPr>
          <w:rFonts w:hint="eastAsia"/>
        </w:rPr>
        <w:t xml:space="preserve"> and stop </w:t>
      </w:r>
      <w:r>
        <w:t xml:space="preserve">upon reception of </w:t>
      </w:r>
      <w:r>
        <w:rPr>
          <w:i/>
        </w:rPr>
        <w:t xml:space="preserve">RRCRelease </w:t>
      </w:r>
      <w:r>
        <w:t>message</w:t>
      </w:r>
      <w:r>
        <w:rPr>
          <w:i/>
        </w:rPr>
        <w:t xml:space="preserve"> or handover</w:t>
      </w:r>
      <w:r>
        <w:t xml:space="preserve"> command, or upon initiating the re-establishment procedur</w:t>
      </w:r>
      <w:r>
        <w:t>e</w:t>
      </w:r>
      <w:r>
        <w:rPr>
          <w:rFonts w:hint="eastAsia"/>
        </w:rPr>
        <w:t xml:space="preserve">. If the T316 expires, the UE will </w:t>
      </w:r>
      <w:r>
        <w:t>initiate</w:t>
      </w:r>
      <w:r>
        <w:rPr>
          <w:rFonts w:hint="eastAsia"/>
        </w:rPr>
        <w:t xml:space="preserve"> the re-establishment procedure which indicates the fast MCG recovery fails. </w:t>
      </w:r>
      <w:r>
        <w:rPr>
          <w:rFonts w:eastAsia="MS Mincho"/>
          <w:lang w:eastAsia="ja-JP"/>
        </w:rPr>
        <w:t>When T316 expires, UE declares fast MCG recovery failure. It is obvious to see that suspended SCG transmission could cause T316 expiry.</w:t>
      </w:r>
      <w:r>
        <w:rPr>
          <w:rFonts w:eastAsia="MS Mincho"/>
          <w:lang w:eastAsia="ja-JP"/>
        </w:rPr>
        <w:t xml:space="preserve"> By far, we can defer that SCG transmission is suspended due to SCG RLF or SCG deactivated as indicated in case a. In case b the SCG transmission is operating well, XN/X2/Uu signalling delay also keeps UE from receiving the response message from MN via SN </w:t>
      </w:r>
      <w:r>
        <w:rPr>
          <w:rFonts w:eastAsia="MS Mincho"/>
          <w:lang w:eastAsia="ja-JP"/>
        </w:rPr>
        <w:t>within T316. All above mentioned factors, i.e., SCG RLF, SCG deactivated, and XN/X2/Uu signalling delay, could result in T316 expiry and thus fast MCG recovery failure. It is beneficial to distinguish the root cause for fast MCG recovery failure for MRO pu</w:t>
      </w:r>
      <w:r>
        <w:rPr>
          <w:rFonts w:eastAsia="MS Mincho"/>
          <w:lang w:eastAsia="ja-JP"/>
        </w:rPr>
        <w:t>rpose.</w:t>
      </w:r>
    </w:p>
    <w:p w:rsidR="00D12EB2" w:rsidRDefault="004B7C19">
      <w:pPr>
        <w:spacing w:before="100" w:beforeAutospacing="1" w:after="120" w:line="256" w:lineRule="auto"/>
        <w:contextualSpacing/>
      </w:pPr>
      <w:r>
        <w:rPr>
          <w:rFonts w:hint="eastAsia"/>
        </w:rPr>
        <w:t>I</w:t>
      </w:r>
      <w:r>
        <w:t>n order to assistant network to identify the exact failure cause and make proper configuration adjustment, e.g. SCG configuration adjustment and T316 configuration adjustment, some information needs to be reported from UE. Since UE declares MCG RLF</w:t>
      </w:r>
      <w:r>
        <w:t>, UE logs MCG RLF report, it makes sense for the MCG RLF report to further log fast MCG recovery failure. We give a summary of information reported from UE for MRO for MCG fast recovery:</w:t>
      </w:r>
    </w:p>
    <w:p w:rsidR="00D12EB2" w:rsidRDefault="004B7C19">
      <w:pPr>
        <w:spacing w:after="240"/>
        <w:ind w:firstLine="284"/>
      </w:pPr>
      <w:r>
        <w:lastRenderedPageBreak/>
        <w:t xml:space="preserve">- </w:t>
      </w:r>
      <w:r>
        <w:rPr>
          <w:rFonts w:hint="eastAsia"/>
        </w:rPr>
        <w:t>The root cause of the fast MCG recovery</w:t>
      </w:r>
      <w:r>
        <w:t xml:space="preserve"> failure</w:t>
      </w:r>
      <w:r>
        <w:rPr>
          <w:rFonts w:hint="eastAsia"/>
        </w:rPr>
        <w:t>, e.g.,</w:t>
      </w:r>
      <w:r>
        <w:t xml:space="preserve"> PSCell addition/change, </w:t>
      </w:r>
      <w:r>
        <w:rPr>
          <w:rFonts w:hint="eastAsia"/>
        </w:rPr>
        <w:t>T316 expir</w:t>
      </w:r>
      <w:r>
        <w:t>y</w:t>
      </w:r>
      <w:r>
        <w:rPr>
          <w:rFonts w:hint="eastAsia"/>
        </w:rPr>
        <w:t>, SCG</w:t>
      </w:r>
      <w:r>
        <w:t xml:space="preserve"> RLF</w:t>
      </w:r>
      <w:r>
        <w:rPr>
          <w:rFonts w:hint="eastAsia"/>
        </w:rPr>
        <w:t>, SCG deactivation</w:t>
      </w:r>
    </w:p>
    <w:p w:rsidR="00D12EB2" w:rsidRDefault="004B7C19">
      <w:pPr>
        <w:spacing w:after="240"/>
        <w:ind w:firstLine="284"/>
      </w:pPr>
      <w:r>
        <w:t>- The SCG RLF failure type</w:t>
      </w:r>
    </w:p>
    <w:p w:rsidR="00D12EB2" w:rsidRDefault="004B7C19">
      <w:pPr>
        <w:spacing w:after="240"/>
        <w:ind w:firstLine="284"/>
      </w:pPr>
      <w:r>
        <w:t>- T316 operation time</w:t>
      </w:r>
    </w:p>
    <w:p w:rsidR="00D12EB2" w:rsidRDefault="004B7C19">
      <w:pPr>
        <w:spacing w:before="100" w:beforeAutospacing="1" w:after="120" w:line="256" w:lineRule="auto"/>
        <w:contextualSpacing/>
        <w:rPr>
          <w:b/>
        </w:rPr>
      </w:pPr>
      <w:r>
        <w:rPr>
          <w:b/>
        </w:rPr>
        <w:t>Proposal 9: Since UE declares MCG RLF, UE logs MCG RLF report, it makes sense for the MCG RLF report to further log fast MCG recovery failure.</w:t>
      </w:r>
    </w:p>
    <w:p w:rsidR="00D12EB2" w:rsidRDefault="004B7C19">
      <w:pPr>
        <w:spacing w:before="100" w:beforeAutospacing="1" w:after="120" w:line="256" w:lineRule="auto"/>
        <w:contextualSpacing/>
        <w:rPr>
          <w:b/>
        </w:rPr>
      </w:pPr>
      <w:r>
        <w:rPr>
          <w:b/>
        </w:rPr>
        <w:t>Proposal 10: Send LS to RAN2 to consider information reported from UE for MRO for MCG fast recovery:</w:t>
      </w:r>
    </w:p>
    <w:p w:rsidR="00D12EB2" w:rsidRDefault="004B7C19">
      <w:pPr>
        <w:spacing w:after="240"/>
        <w:ind w:firstLine="284"/>
        <w:rPr>
          <w:b/>
        </w:rPr>
      </w:pPr>
      <w:r>
        <w:rPr>
          <w:b/>
        </w:rPr>
        <w:t xml:space="preserve">- </w:t>
      </w:r>
      <w:r>
        <w:rPr>
          <w:rFonts w:hint="eastAsia"/>
          <w:b/>
        </w:rPr>
        <w:t>The root cause of the fast MCG recovery</w:t>
      </w:r>
      <w:r>
        <w:rPr>
          <w:b/>
        </w:rPr>
        <w:t xml:space="preserve"> failure</w:t>
      </w:r>
      <w:r>
        <w:rPr>
          <w:rFonts w:hint="eastAsia"/>
          <w:b/>
        </w:rPr>
        <w:t>, e.g.,</w:t>
      </w:r>
      <w:r>
        <w:rPr>
          <w:b/>
        </w:rPr>
        <w:t xml:space="preserve"> PSCell addition/change, </w:t>
      </w:r>
      <w:r>
        <w:rPr>
          <w:rFonts w:hint="eastAsia"/>
          <w:b/>
        </w:rPr>
        <w:t>T316 expir</w:t>
      </w:r>
      <w:r>
        <w:rPr>
          <w:b/>
        </w:rPr>
        <w:t>y</w:t>
      </w:r>
      <w:r>
        <w:rPr>
          <w:rFonts w:hint="eastAsia"/>
          <w:b/>
        </w:rPr>
        <w:t>, SCG</w:t>
      </w:r>
      <w:r>
        <w:rPr>
          <w:b/>
        </w:rPr>
        <w:t xml:space="preserve"> RLF</w:t>
      </w:r>
      <w:r>
        <w:rPr>
          <w:rFonts w:hint="eastAsia"/>
          <w:b/>
        </w:rPr>
        <w:t>, SCG deactivation</w:t>
      </w:r>
    </w:p>
    <w:p w:rsidR="00D12EB2" w:rsidRDefault="004B7C19">
      <w:pPr>
        <w:spacing w:after="240"/>
        <w:ind w:firstLine="284"/>
        <w:rPr>
          <w:b/>
        </w:rPr>
      </w:pPr>
      <w:r>
        <w:rPr>
          <w:b/>
        </w:rPr>
        <w:t>- The SCG RLF failure type</w:t>
      </w:r>
      <w:r>
        <w:rPr>
          <w:b/>
        </w:rPr>
        <w:tab/>
      </w:r>
    </w:p>
    <w:p w:rsidR="00D12EB2" w:rsidRDefault="004B7C19">
      <w:pPr>
        <w:spacing w:after="240"/>
        <w:ind w:firstLine="284"/>
        <w:rPr>
          <w:b/>
        </w:rPr>
      </w:pPr>
      <w:r>
        <w:rPr>
          <w:b/>
        </w:rPr>
        <w:t xml:space="preserve">- T316 </w:t>
      </w:r>
      <w:r>
        <w:rPr>
          <w:b/>
        </w:rPr>
        <w:t>operation time</w:t>
      </w:r>
    </w:p>
    <w:p w:rsidR="00D12EB2" w:rsidRDefault="004B7C19">
      <w:pPr>
        <w:pStyle w:val="1"/>
        <w:pBdr>
          <w:top w:val="single" w:sz="12" w:space="2" w:color="auto"/>
        </w:pBdr>
        <w:rPr>
          <w:rFonts w:ascii="Times New Roman" w:eastAsia="宋体" w:hAnsi="Times New Roman"/>
        </w:rPr>
      </w:pPr>
      <w:r>
        <w:rPr>
          <w:rFonts w:ascii="Times New Roman" w:eastAsia="宋体" w:hAnsi="Times New Roman"/>
        </w:rPr>
        <w:t>Conclusion</w:t>
      </w:r>
    </w:p>
    <w:p w:rsidR="00D12EB2" w:rsidRDefault="004B7C19">
      <w:pPr>
        <w:rPr>
          <w:b/>
          <w:u w:val="single"/>
        </w:rPr>
      </w:pPr>
      <w:r>
        <w:rPr>
          <w:u w:val="single"/>
        </w:rPr>
        <w:t>MRO for MR-DC SCG failure</w:t>
      </w:r>
      <w:r>
        <w:rPr>
          <w:b/>
          <w:u w:val="single"/>
        </w:rPr>
        <w:t xml:space="preserve"> </w:t>
      </w:r>
    </w:p>
    <w:p w:rsidR="00D12EB2" w:rsidRDefault="004B7C19">
      <w:pPr>
        <w:rPr>
          <w:b/>
        </w:rPr>
      </w:pPr>
      <w:r>
        <w:rPr>
          <w:b/>
        </w:rPr>
        <w:t>Proposal 1: Introduce the stage 2 description of PSCell change failure for (NG) EN-DC in TS36.300.</w:t>
      </w:r>
    </w:p>
    <w:p w:rsidR="00D12EB2" w:rsidRDefault="00D12EB2">
      <w:pPr>
        <w:rPr>
          <w:b/>
        </w:rPr>
      </w:pPr>
    </w:p>
    <w:p w:rsidR="00D12EB2" w:rsidRDefault="004B7C19">
      <w:pPr>
        <w:rPr>
          <w:b/>
        </w:rPr>
      </w:pPr>
      <w:r>
        <w:rPr>
          <w:b/>
        </w:rPr>
        <w:t>Proposal 2: RAN2 to introduce inter-node RRC message to forward the SCG failure information from the MN</w:t>
      </w:r>
      <w:r>
        <w:rPr>
          <w:b/>
        </w:rPr>
        <w:t xml:space="preserve"> to the SN for NE-DC and (NG) EN-DC scenarios.</w:t>
      </w:r>
    </w:p>
    <w:p w:rsidR="00D12EB2" w:rsidRDefault="00D12EB2">
      <w:pPr>
        <w:rPr>
          <w:b/>
        </w:rPr>
      </w:pPr>
    </w:p>
    <w:p w:rsidR="00D12EB2" w:rsidRDefault="004B7C19">
      <w:pPr>
        <w:rPr>
          <w:b/>
        </w:rPr>
      </w:pPr>
      <w:r>
        <w:rPr>
          <w:b/>
        </w:rPr>
        <w:t>Proposal 3: Support Pre-R18 UE and reuse the detection solution for Pre-R17 UE for EN-DC, NGEN-DC and NE-DC scenarios.</w:t>
      </w:r>
    </w:p>
    <w:p w:rsidR="00D12EB2" w:rsidRDefault="00D12EB2">
      <w:pPr>
        <w:rPr>
          <w:b/>
        </w:rPr>
      </w:pPr>
    </w:p>
    <w:p w:rsidR="00D12EB2" w:rsidRDefault="004B7C19">
      <w:pPr>
        <w:rPr>
          <w:u w:val="single"/>
        </w:rPr>
      </w:pPr>
      <w:r>
        <w:rPr>
          <w:u w:val="single"/>
        </w:rPr>
        <w:t>MRO for CPAC</w:t>
      </w:r>
    </w:p>
    <w:p w:rsidR="00D12EB2" w:rsidRDefault="00D12EB2">
      <w:pPr>
        <w:rPr>
          <w:b/>
        </w:rPr>
      </w:pPr>
    </w:p>
    <w:p w:rsidR="00D12EB2" w:rsidRDefault="004B7C19">
      <w:pPr>
        <w:ind w:left="105" w:hangingChars="50" w:hanging="105"/>
        <w:rPr>
          <w:b/>
        </w:rPr>
      </w:pPr>
      <w:r>
        <w:rPr>
          <w:rFonts w:hint="eastAsia"/>
          <w:b/>
        </w:rPr>
        <w:t>O</w:t>
      </w:r>
      <w:r>
        <w:rPr>
          <w:b/>
        </w:rPr>
        <w:t>bservation 1</w:t>
      </w:r>
      <w:r>
        <w:rPr>
          <w:rFonts w:hint="eastAsia"/>
          <w:b/>
        </w:rPr>
        <w:t>:</w:t>
      </w:r>
      <w:r>
        <w:rPr>
          <w:b/>
        </w:rPr>
        <w:t xml:space="preserve"> upon transmission of </w:t>
      </w:r>
      <w:r>
        <w:rPr>
          <w:b/>
          <w:i/>
        </w:rPr>
        <w:t>RRCReestablishmentRequest</w:t>
      </w:r>
      <w:r>
        <w:rPr>
          <w:b/>
        </w:rPr>
        <w:t xml:space="preserve"> message</w:t>
      </w:r>
      <w:r>
        <w:rPr>
          <w:b/>
          <w:i/>
        </w:rPr>
        <w:t xml:space="preserve"> rees</w:t>
      </w:r>
      <w:r>
        <w:rPr>
          <w:b/>
          <w:i/>
        </w:rPr>
        <w:t>tablishmentCellId</w:t>
      </w:r>
      <w:r>
        <w:rPr>
          <w:b/>
        </w:rPr>
        <w:t xml:space="preserve"> in RLF report is set to indicate the selected Cell. It is sure that the determination of selected cell does not depend on the successful completion of RA procedure.</w:t>
      </w:r>
    </w:p>
    <w:p w:rsidR="00D12EB2" w:rsidRDefault="00D12EB2">
      <w:pPr>
        <w:ind w:left="105" w:hangingChars="50" w:hanging="105"/>
        <w:rPr>
          <w:b/>
        </w:rPr>
      </w:pPr>
    </w:p>
    <w:p w:rsidR="00D12EB2" w:rsidRDefault="004B7C19">
      <w:pPr>
        <w:rPr>
          <w:b/>
        </w:rPr>
      </w:pPr>
      <w:r>
        <w:rPr>
          <w:b/>
        </w:rPr>
        <w:t>Proposal 4: For too early CPA execution, “no suitable PSCell found” refe</w:t>
      </w:r>
      <w:r>
        <w:rPr>
          <w:b/>
        </w:rPr>
        <w:t xml:space="preserve">r to no PSCell which meets the cell selectin criterion according to measurement results. </w:t>
      </w:r>
    </w:p>
    <w:p w:rsidR="00D12EB2" w:rsidRDefault="00D12EB2">
      <w:pPr>
        <w:rPr>
          <w:b/>
        </w:rPr>
      </w:pPr>
    </w:p>
    <w:p w:rsidR="00D12EB2" w:rsidRDefault="004B7C19">
      <w:pPr>
        <w:rPr>
          <w:b/>
        </w:rPr>
      </w:pPr>
      <w:r>
        <w:rPr>
          <w:b/>
        </w:rPr>
        <w:t xml:space="preserve">Observation 2: It could be MN or source SN which causes the SCG failure </w:t>
      </w:r>
      <w:r>
        <w:rPr>
          <w:rFonts w:hint="eastAsia"/>
          <w:b/>
        </w:rPr>
        <w:t>due</w:t>
      </w:r>
      <w:r>
        <w:rPr>
          <w:b/>
        </w:rPr>
        <w:t xml:space="preserve"> to improper CPAC configuration.</w:t>
      </w:r>
    </w:p>
    <w:p w:rsidR="00D12EB2" w:rsidRDefault="00D12EB2">
      <w:pPr>
        <w:rPr>
          <w:b/>
        </w:rPr>
      </w:pPr>
    </w:p>
    <w:p w:rsidR="00D12EB2" w:rsidRDefault="004B7C19">
      <w:pPr>
        <w:rPr>
          <w:b/>
        </w:rPr>
      </w:pPr>
      <w:r>
        <w:rPr>
          <w:b/>
        </w:rPr>
        <w:t xml:space="preserve">Proposal 5: In case of CPA and CPC failure scenarios, </w:t>
      </w:r>
      <w:r>
        <w:rPr>
          <w:b/>
        </w:rPr>
        <w:t xml:space="preserve">upon reception of SCGFailureInformation from MN, MN perform initial analysis, determines the failure type and forwards the SCG failure </w:t>
      </w:r>
      <w:r w:rsidR="00924929">
        <w:rPr>
          <w:b/>
        </w:rPr>
        <w:t>information</w:t>
      </w:r>
      <w:r>
        <w:rPr>
          <w:b/>
        </w:rPr>
        <w:t xml:space="preserve"> to </w:t>
      </w:r>
      <w:r>
        <w:rPr>
          <w:b/>
        </w:rPr>
        <w:lastRenderedPageBreak/>
        <w:t>the corresponding node which caused the failure.</w:t>
      </w:r>
    </w:p>
    <w:p w:rsidR="00D12EB2" w:rsidRDefault="00D12EB2">
      <w:pPr>
        <w:rPr>
          <w:b/>
        </w:rPr>
      </w:pPr>
    </w:p>
    <w:p w:rsidR="00D12EB2" w:rsidRDefault="004B7C19">
      <w:pPr>
        <w:spacing w:after="120"/>
        <w:ind w:rightChars="100" w:right="210"/>
        <w:rPr>
          <w:b/>
        </w:rPr>
      </w:pPr>
      <w:r>
        <w:rPr>
          <w:b/>
        </w:rPr>
        <w:t>Observation 3: 3)~ 8</w:t>
      </w:r>
      <w:r>
        <w:rPr>
          <w:rFonts w:hint="eastAsia"/>
          <w:b/>
        </w:rPr>
        <w:t>)</w:t>
      </w:r>
      <w:r>
        <w:rPr>
          <w:b/>
        </w:rPr>
        <w:t xml:space="preserve"> could be derived by network for MR</w:t>
      </w:r>
      <w:r>
        <w:rPr>
          <w:b/>
        </w:rPr>
        <w:t>O for CPAC without UE reporting them.</w:t>
      </w:r>
    </w:p>
    <w:p w:rsidR="00D12EB2" w:rsidRDefault="004B7C19">
      <w:pPr>
        <w:spacing w:after="120"/>
        <w:ind w:rightChars="100" w:right="210"/>
        <w:rPr>
          <w:b/>
        </w:rPr>
      </w:pPr>
      <w:r>
        <w:rPr>
          <w:b/>
        </w:rPr>
        <w:t>Observation 4: 11)~12) could not be reported by UE for MRO for CPAC when UE successfully executes CPC towards target PSCell and shortly declares SCG RLF in target PSCell in SN initiated CPC procedure.</w:t>
      </w:r>
      <w:bookmarkStart w:id="7" w:name="_GoBack"/>
    </w:p>
    <w:bookmarkEnd w:id="7"/>
    <w:p w:rsidR="00D12EB2" w:rsidRDefault="004B7C19">
      <w:pPr>
        <w:spacing w:line="256" w:lineRule="auto"/>
        <w:contextualSpacing/>
        <w:rPr>
          <w:b/>
        </w:rPr>
      </w:pPr>
      <w:r>
        <w:rPr>
          <w:b/>
        </w:rPr>
        <w:t>Proposal 6: 11)~1</w:t>
      </w:r>
      <w:r>
        <w:rPr>
          <w:b/>
        </w:rPr>
        <w:t>2) needs to be retrieved by network from inter-node coordination message between MN and source SN during the SN initiated CPC procedure for MRO for CPAC when UE successfully executes CPC towards target PSCell and shortly declares SCG RLF in target PSCell i</w:t>
      </w:r>
      <w:r>
        <w:rPr>
          <w:b/>
        </w:rPr>
        <w:t>n SN initiated CPC procedure.</w:t>
      </w:r>
    </w:p>
    <w:p w:rsidR="00D12EB2" w:rsidRDefault="00D12EB2">
      <w:pPr>
        <w:spacing w:line="256" w:lineRule="auto"/>
        <w:contextualSpacing/>
        <w:rPr>
          <w:b/>
        </w:rPr>
      </w:pPr>
    </w:p>
    <w:p w:rsidR="00D12EB2" w:rsidRDefault="004B7C19">
      <w:pPr>
        <w:spacing w:line="256" w:lineRule="auto"/>
        <w:contextualSpacing/>
        <w:rPr>
          <w:b/>
        </w:rPr>
      </w:pPr>
      <w:r>
        <w:rPr>
          <w:b/>
        </w:rPr>
        <w:t>Proposal 7: 11)~12) could be derived by network from UE context in case of CPA failure, MN initiated CPC failure and SN initiated CPC failure.</w:t>
      </w:r>
    </w:p>
    <w:p w:rsidR="00D12EB2" w:rsidRDefault="00D12EB2">
      <w:pPr>
        <w:spacing w:line="256" w:lineRule="auto"/>
        <w:contextualSpacing/>
        <w:rPr>
          <w:b/>
        </w:rPr>
      </w:pPr>
    </w:p>
    <w:p w:rsidR="00D12EB2" w:rsidRDefault="004B7C19">
      <w:pPr>
        <w:spacing w:line="256" w:lineRule="auto"/>
        <w:contextualSpacing/>
        <w:rPr>
          <w:b/>
        </w:rPr>
      </w:pPr>
      <w:r>
        <w:rPr>
          <w:b/>
        </w:rPr>
        <w:t>Proposal 8: 1), 2), 9) and 10) need to be reported by UE for MRO for CPAC.</w:t>
      </w:r>
    </w:p>
    <w:p w:rsidR="00D12EB2" w:rsidRDefault="00D12EB2">
      <w:pPr>
        <w:spacing w:line="256" w:lineRule="auto"/>
        <w:contextualSpacing/>
        <w:rPr>
          <w:b/>
        </w:rPr>
      </w:pPr>
    </w:p>
    <w:p w:rsidR="00D12EB2" w:rsidRDefault="004B7C19">
      <w:pPr>
        <w:rPr>
          <w:u w:val="single"/>
        </w:rPr>
      </w:pPr>
      <w:r>
        <w:rPr>
          <w:u w:val="single"/>
        </w:rPr>
        <w:t>MRO f</w:t>
      </w:r>
      <w:r>
        <w:rPr>
          <w:u w:val="single"/>
        </w:rPr>
        <w:t>or fast MCG recovery</w:t>
      </w:r>
    </w:p>
    <w:p w:rsidR="00D12EB2" w:rsidRDefault="00D12EB2">
      <w:pPr>
        <w:rPr>
          <w:u w:val="single"/>
        </w:rPr>
      </w:pPr>
    </w:p>
    <w:p w:rsidR="00D12EB2" w:rsidRDefault="004B7C19">
      <w:pPr>
        <w:spacing w:before="100" w:beforeAutospacing="1" w:after="120" w:line="256" w:lineRule="auto"/>
        <w:contextualSpacing/>
        <w:rPr>
          <w:b/>
        </w:rPr>
      </w:pPr>
      <w:r>
        <w:rPr>
          <w:b/>
        </w:rPr>
        <w:t>Proposal 9: Since UE declares MCG RLF, UE logs MCG RLF report, it makes sense for the MCG RLF report to further log fast MCG recovery failure.</w:t>
      </w:r>
    </w:p>
    <w:p w:rsidR="00D12EB2" w:rsidRDefault="00D12EB2">
      <w:pPr>
        <w:spacing w:before="100" w:beforeAutospacing="1" w:after="120" w:line="256" w:lineRule="auto"/>
        <w:contextualSpacing/>
        <w:rPr>
          <w:b/>
        </w:rPr>
      </w:pPr>
    </w:p>
    <w:p w:rsidR="00D12EB2" w:rsidRDefault="004B7C19">
      <w:pPr>
        <w:spacing w:before="100" w:beforeAutospacing="1" w:after="120" w:line="256" w:lineRule="auto"/>
        <w:contextualSpacing/>
        <w:rPr>
          <w:b/>
        </w:rPr>
      </w:pPr>
      <w:r>
        <w:rPr>
          <w:b/>
        </w:rPr>
        <w:t>Proposal 10: Send LS to RAN2 to consider information reported from UE for MRO for MCG fast</w:t>
      </w:r>
      <w:r>
        <w:rPr>
          <w:b/>
        </w:rPr>
        <w:t xml:space="preserve"> recovery:</w:t>
      </w:r>
    </w:p>
    <w:p w:rsidR="00D12EB2" w:rsidRDefault="004B7C19">
      <w:pPr>
        <w:spacing w:after="240"/>
        <w:ind w:firstLine="284"/>
        <w:rPr>
          <w:b/>
        </w:rPr>
      </w:pPr>
      <w:r>
        <w:rPr>
          <w:b/>
        </w:rPr>
        <w:t xml:space="preserve">- </w:t>
      </w:r>
      <w:r>
        <w:rPr>
          <w:rFonts w:hint="eastAsia"/>
          <w:b/>
        </w:rPr>
        <w:t>The root cause of the fast MCG recovery</w:t>
      </w:r>
      <w:r>
        <w:rPr>
          <w:b/>
        </w:rPr>
        <w:t xml:space="preserve"> failure</w:t>
      </w:r>
      <w:r>
        <w:rPr>
          <w:rFonts w:hint="eastAsia"/>
          <w:b/>
        </w:rPr>
        <w:t>, e.g.,</w:t>
      </w:r>
      <w:r>
        <w:rPr>
          <w:b/>
        </w:rPr>
        <w:t xml:space="preserve"> PSCell addition/change, </w:t>
      </w:r>
      <w:r>
        <w:rPr>
          <w:rFonts w:hint="eastAsia"/>
          <w:b/>
        </w:rPr>
        <w:t>T316 expir</w:t>
      </w:r>
      <w:r>
        <w:rPr>
          <w:b/>
        </w:rPr>
        <w:t>y</w:t>
      </w:r>
      <w:r>
        <w:rPr>
          <w:rFonts w:hint="eastAsia"/>
          <w:b/>
        </w:rPr>
        <w:t>, SCG</w:t>
      </w:r>
      <w:r>
        <w:rPr>
          <w:b/>
        </w:rPr>
        <w:t xml:space="preserve"> RLF</w:t>
      </w:r>
      <w:r>
        <w:rPr>
          <w:rFonts w:hint="eastAsia"/>
          <w:b/>
        </w:rPr>
        <w:t>, SCG deactivation</w:t>
      </w:r>
    </w:p>
    <w:p w:rsidR="00D12EB2" w:rsidRDefault="004B7C19">
      <w:pPr>
        <w:spacing w:after="240"/>
        <w:ind w:firstLine="284"/>
        <w:rPr>
          <w:b/>
        </w:rPr>
      </w:pPr>
      <w:r>
        <w:rPr>
          <w:b/>
        </w:rPr>
        <w:t>- The SCG RLF failure type</w:t>
      </w:r>
      <w:r>
        <w:rPr>
          <w:b/>
        </w:rPr>
        <w:tab/>
      </w:r>
    </w:p>
    <w:p w:rsidR="00D12EB2" w:rsidRDefault="004B7C19">
      <w:pPr>
        <w:spacing w:after="240"/>
        <w:ind w:firstLine="284"/>
        <w:rPr>
          <w:b/>
        </w:rPr>
      </w:pPr>
      <w:r>
        <w:rPr>
          <w:b/>
        </w:rPr>
        <w:t>- T316 operation time</w:t>
      </w:r>
    </w:p>
    <w:p w:rsidR="00D12EB2" w:rsidRDefault="004B7C19">
      <w:pPr>
        <w:pStyle w:val="1"/>
        <w:rPr>
          <w:rFonts w:ascii="Times New Roman" w:hAnsi="Times New Roman"/>
        </w:rPr>
      </w:pPr>
      <w:r>
        <w:rPr>
          <w:rFonts w:ascii="Times New Roman" w:hAnsi="Times New Roman"/>
        </w:rPr>
        <w:t>References</w:t>
      </w:r>
    </w:p>
    <w:p w:rsidR="00D12EB2" w:rsidRDefault="004B7C19">
      <w:pPr>
        <w:numPr>
          <w:ilvl w:val="0"/>
          <w:numId w:val="8"/>
        </w:numPr>
        <w:rPr>
          <w:rFonts w:eastAsia="MS Mincho"/>
          <w:lang w:eastAsia="ja-JP"/>
        </w:rPr>
      </w:pPr>
      <w:r>
        <w:rPr>
          <w:rFonts w:eastAsia="MS Mincho"/>
          <w:lang w:eastAsia="ja-JP"/>
        </w:rPr>
        <w:t>R3-225908 Summary_of_offline_SONMDT2_MRO v1</w:t>
      </w:r>
    </w:p>
    <w:p w:rsidR="00D12EB2" w:rsidRDefault="004B7C19">
      <w:pPr>
        <w:pStyle w:val="1"/>
      </w:pPr>
      <w:r>
        <w:rPr>
          <w:rFonts w:ascii="Times New Roman" w:hAnsi="Times New Roman"/>
        </w:rPr>
        <w:t xml:space="preserve">Annex: </w:t>
      </w:r>
      <w:bookmarkStart w:id="8" w:name="_Toc52491270"/>
      <w:bookmarkStart w:id="9" w:name="_Toc109128013"/>
      <w:bookmarkStart w:id="10" w:name="_Toc46498957"/>
      <w:r>
        <w:t xml:space="preserve">TP on </w:t>
      </w:r>
      <w:r>
        <w:t>TS36.300 for (NG) EN-DC SCG failure</w:t>
      </w:r>
    </w:p>
    <w:p w:rsidR="00D12EB2" w:rsidRDefault="004B7C19">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 the change</w:t>
      </w:r>
    </w:p>
    <w:p w:rsidR="00D12EB2" w:rsidRDefault="004B7C19">
      <w:pPr>
        <w:pStyle w:val="4"/>
        <w:numPr>
          <w:ilvl w:val="0"/>
          <w:numId w:val="0"/>
        </w:numPr>
        <w:spacing w:after="240"/>
        <w:ind w:left="1299" w:hanging="879"/>
        <w:rPr>
          <w:ins w:id="11" w:author="Huawei" w:date="2022-09-28T14:59:00Z"/>
        </w:rPr>
      </w:pPr>
      <w:ins w:id="12" w:author="Huawei" w:date="2022-09-28T14:59:00Z">
        <w:r>
          <w:t>22.4.2.X</w:t>
        </w:r>
        <w:r>
          <w:tab/>
        </w:r>
        <w:r>
          <w:t>PSCell change failure</w:t>
        </w:r>
      </w:ins>
      <w:ins w:id="13" w:author="Huawei" w:date="2022-09-28T16:02:00Z">
        <w:r>
          <w:t xml:space="preserve"> in (NG)EN</w:t>
        </w:r>
      </w:ins>
      <w:ins w:id="14" w:author="Huawei" w:date="2022-09-28T16:03:00Z">
        <w:r>
          <w:t>-</w:t>
        </w:r>
      </w:ins>
      <w:ins w:id="15" w:author="Huawei" w:date="2022-09-28T16:02:00Z">
        <w:r>
          <w:t>DC</w:t>
        </w:r>
      </w:ins>
    </w:p>
    <w:p w:rsidR="00D12EB2" w:rsidRDefault="004B7C19">
      <w:ins w:id="16" w:author="Huawei" w:date="2022-09-28T14:59:00Z">
        <w:r>
          <w:t xml:space="preserve">For analysis of PSCell change failures, the UE makes the SCG Failure Information available to the MN. If the MN can perform an initial analysis, it </w:t>
        </w:r>
        <w:r>
          <w:t>transfers the SCG Failure Information together with the analysis results to the relevant SN which is responsible for the PSCell change failures (see the clause 13.3 in TS 37.340 [</w:t>
        </w:r>
      </w:ins>
      <w:ins w:id="17" w:author="Huawei" w:date="2022-09-28T16:03:00Z">
        <w:r>
          <w:t>76</w:t>
        </w:r>
      </w:ins>
      <w:ins w:id="18" w:author="Huawei" w:date="2022-09-28T14:59:00Z">
        <w:r>
          <w:t>]). Otherwise, the MN transfers the SCG Failure Information to the last ser</w:t>
        </w:r>
        <w:r>
          <w:t>ving SN. If needed, the MN transfer the SCG Failure Information to the source SN (see the clause 13.3 in TS 37.340 [</w:t>
        </w:r>
      </w:ins>
      <w:ins w:id="19" w:author="Huawei" w:date="2022-09-28T16:03:00Z">
        <w:r>
          <w:t>76</w:t>
        </w:r>
      </w:ins>
      <w:ins w:id="20" w:author="Huawei" w:date="2022-09-28T14:59:00Z">
        <w:r>
          <w:t>]).</w:t>
        </w:r>
      </w:ins>
    </w:p>
    <w:p w:rsidR="00D12EB2" w:rsidRDefault="004B7C19">
      <w:pPr>
        <w:pStyle w:val="Note-Boxed"/>
        <w:jc w:val="center"/>
        <w:rPr>
          <w:ins w:id="21" w:author="Huawei" w:date="2022-09-28T14:59:00Z"/>
          <w:rFonts w:ascii="Times New Roman" w:hAnsi="Times New Roman" w:cs="Times New Roman"/>
          <w:lang w:val="en-US"/>
        </w:rPr>
      </w:pPr>
      <w:r>
        <w:rPr>
          <w:rFonts w:ascii="Times New Roman" w:eastAsia="宋体" w:hAnsi="Times New Roman" w:cs="Times New Roman"/>
          <w:lang w:val="en-US" w:eastAsia="zh-CN"/>
        </w:rPr>
        <w:lastRenderedPageBreak/>
        <w:t>End of the change</w:t>
      </w:r>
    </w:p>
    <w:bookmarkEnd w:id="8"/>
    <w:bookmarkEnd w:id="9"/>
    <w:bookmarkEnd w:id="10"/>
    <w:p w:rsidR="00D12EB2" w:rsidRDefault="00D12EB2">
      <w:pPr>
        <w:rPr>
          <w:rFonts w:eastAsia="MS Mincho"/>
          <w:u w:val="single"/>
          <w:lang w:eastAsia="ja-JP"/>
        </w:rPr>
      </w:pPr>
    </w:p>
    <w:sectPr w:rsidR="00D12EB2">
      <w:footerReference w:type="default" r:id="rId8"/>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C19" w:rsidRDefault="004B7C19">
      <w:pPr>
        <w:spacing w:line="240" w:lineRule="auto"/>
      </w:pPr>
      <w:r>
        <w:separator/>
      </w:r>
    </w:p>
  </w:endnote>
  <w:endnote w:type="continuationSeparator" w:id="0">
    <w:p w:rsidR="004B7C19" w:rsidRDefault="004B7C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Arial Unicode MS"/>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楷体_GB2312">
    <w:charset w:val="86"/>
    <w:family w:val="modern"/>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EB2" w:rsidRDefault="004B7C19">
    <w:pPr>
      <w:pStyle w:val="a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C19" w:rsidRDefault="004B7C19">
      <w:pPr>
        <w:spacing w:line="240" w:lineRule="auto"/>
      </w:pPr>
      <w:r>
        <w:separator/>
      </w:r>
    </w:p>
  </w:footnote>
  <w:footnote w:type="continuationSeparator" w:id="0">
    <w:p w:rsidR="004B7C19" w:rsidRDefault="004B7C1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1815"/>
        </w:tabs>
        <w:ind w:left="1418" w:firstLine="0"/>
      </w:pPr>
      <w:rPr>
        <w:rFonts w:hint="eastAsia"/>
        <w:b w:val="0"/>
        <w:sz w:val="32"/>
        <w:szCs w:val="32"/>
      </w:rPr>
    </w:lvl>
    <w:lvl w:ilvl="2">
      <w:start w:val="1"/>
      <w:numFmt w:val="decimal"/>
      <w:lvlText w:val="%1.%2.%3"/>
      <w:lvlJc w:val="left"/>
      <w:pPr>
        <w:tabs>
          <w:tab w:val="left" w:pos="0"/>
        </w:tabs>
        <w:ind w:left="0" w:firstLine="0"/>
      </w:pPr>
      <w:rPr>
        <w:rFonts w:hint="eastAsia"/>
      </w:rPr>
    </w:lvl>
    <w:lvl w:ilvl="3">
      <w:start w:val="1"/>
      <w:numFmt w:val="decimal"/>
      <w:pStyle w:val="4"/>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259D217B"/>
    <w:multiLevelType w:val="multilevel"/>
    <w:tmpl w:val="259D217B"/>
    <w:lvl w:ilvl="0">
      <w:start w:val="1"/>
      <w:numFmt w:val="decimal"/>
      <w:lvlText w:val="[%1]"/>
      <w:lvlJc w:val="left"/>
      <w:pPr>
        <w:tabs>
          <w:tab w:val="left" w:pos="454"/>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7"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2922EC"/>
    <w:multiLevelType w:val="multilevel"/>
    <w:tmpl w:val="702922E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73D63A13"/>
    <w:multiLevelType w:val="multilevel"/>
    <w:tmpl w:val="73D63A13"/>
    <w:lvl w:ilvl="0">
      <w:start w:val="1"/>
      <w:numFmt w:val="decimal"/>
      <w:lvlText w:val="%1)"/>
      <w:lvlJc w:val="left"/>
      <w:pPr>
        <w:ind w:left="786"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2"/>
  </w:num>
  <w:num w:numId="2">
    <w:abstractNumId w:val="8"/>
  </w:num>
  <w:num w:numId="3">
    <w:abstractNumId w:val="11"/>
  </w:num>
  <w:num w:numId="4">
    <w:abstractNumId w:val="9"/>
  </w:num>
  <w:num w:numId="5">
    <w:abstractNumId w:val="15"/>
  </w:num>
  <w:num w:numId="6">
    <w:abstractNumId w:val="18"/>
  </w:num>
  <w:num w:numId="7">
    <w:abstractNumId w:val="1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7"/>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6"/>
  </w:num>
  <w:num w:numId="14">
    <w:abstractNumId w:val="7"/>
  </w:num>
  <w:num w:numId="15">
    <w:abstractNumId w:val="0"/>
  </w:num>
  <w:num w:numId="16">
    <w:abstractNumId w:val="5"/>
  </w:num>
  <w:num w:numId="17">
    <w:abstractNumId w:val="12"/>
  </w:num>
  <w:num w:numId="18">
    <w:abstractNumId w:val="19"/>
  </w:num>
  <w:num w:numId="19">
    <w:abstractNumId w:val="1"/>
  </w:num>
  <w:num w:numId="20">
    <w:abstractNumId w:val="14"/>
  </w:num>
  <w:num w:numId="21">
    <w:abstractNumId w:val="13"/>
  </w:num>
  <w:num w:numId="22">
    <w:abstractNumId w:val="14"/>
  </w:num>
  <w:num w:numId="23">
    <w:abstractNumId w:val="14"/>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AAFB5D45"/>
    <w:rsid w:val="E3FF779A"/>
    <w:rsid w:val="EE6B6BC6"/>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3C58"/>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1E7B"/>
    <w:rsid w:val="000A1F16"/>
    <w:rsid w:val="000A2529"/>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139"/>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8E"/>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568"/>
    <w:rsid w:val="00132A21"/>
    <w:rsid w:val="00132B1C"/>
    <w:rsid w:val="00132D97"/>
    <w:rsid w:val="00133919"/>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081"/>
    <w:rsid w:val="00160606"/>
    <w:rsid w:val="0016089E"/>
    <w:rsid w:val="00160B74"/>
    <w:rsid w:val="001614D7"/>
    <w:rsid w:val="00161722"/>
    <w:rsid w:val="00161775"/>
    <w:rsid w:val="0016184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1A6"/>
    <w:rsid w:val="001B324C"/>
    <w:rsid w:val="001B32FB"/>
    <w:rsid w:val="001B38A4"/>
    <w:rsid w:val="001B3BC3"/>
    <w:rsid w:val="001B4001"/>
    <w:rsid w:val="001B459C"/>
    <w:rsid w:val="001B4F8C"/>
    <w:rsid w:val="001B63B4"/>
    <w:rsid w:val="001B659B"/>
    <w:rsid w:val="001B69D6"/>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7C5"/>
    <w:rsid w:val="00236A2D"/>
    <w:rsid w:val="00236BCA"/>
    <w:rsid w:val="00237506"/>
    <w:rsid w:val="00237C07"/>
    <w:rsid w:val="00237E0F"/>
    <w:rsid w:val="00240542"/>
    <w:rsid w:val="00240C84"/>
    <w:rsid w:val="0024120C"/>
    <w:rsid w:val="00241259"/>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90"/>
    <w:rsid w:val="002954E4"/>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84"/>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190C"/>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2405"/>
    <w:rsid w:val="003A2BA1"/>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3C4E"/>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566A"/>
    <w:rsid w:val="00465AE3"/>
    <w:rsid w:val="00465C59"/>
    <w:rsid w:val="00465FB0"/>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F7"/>
    <w:rsid w:val="00495659"/>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027"/>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B7C19"/>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3D8"/>
    <w:rsid w:val="004F1696"/>
    <w:rsid w:val="004F16E2"/>
    <w:rsid w:val="004F17E5"/>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050"/>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72F"/>
    <w:rsid w:val="00586956"/>
    <w:rsid w:val="00587411"/>
    <w:rsid w:val="00587942"/>
    <w:rsid w:val="00587AAE"/>
    <w:rsid w:val="00587E5A"/>
    <w:rsid w:val="00590164"/>
    <w:rsid w:val="005902F9"/>
    <w:rsid w:val="005904C5"/>
    <w:rsid w:val="00590740"/>
    <w:rsid w:val="00590891"/>
    <w:rsid w:val="00590995"/>
    <w:rsid w:val="00591628"/>
    <w:rsid w:val="00591DCF"/>
    <w:rsid w:val="00592864"/>
    <w:rsid w:val="005928CC"/>
    <w:rsid w:val="005929A6"/>
    <w:rsid w:val="00592C01"/>
    <w:rsid w:val="005932DC"/>
    <w:rsid w:val="00593361"/>
    <w:rsid w:val="0059358B"/>
    <w:rsid w:val="0059377B"/>
    <w:rsid w:val="00594A61"/>
    <w:rsid w:val="0059509B"/>
    <w:rsid w:val="0059523C"/>
    <w:rsid w:val="00595E37"/>
    <w:rsid w:val="00596188"/>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6CE8"/>
    <w:rsid w:val="005A74E8"/>
    <w:rsid w:val="005A7C1B"/>
    <w:rsid w:val="005A7E26"/>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BB8"/>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8B8"/>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1FED"/>
    <w:rsid w:val="00682042"/>
    <w:rsid w:val="0068234C"/>
    <w:rsid w:val="00682663"/>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C2"/>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AD1"/>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383"/>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A52"/>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7EA"/>
    <w:rsid w:val="00790A2D"/>
    <w:rsid w:val="00790B4E"/>
    <w:rsid w:val="00790BA5"/>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53"/>
    <w:rsid w:val="007C1E94"/>
    <w:rsid w:val="007C25C9"/>
    <w:rsid w:val="007C2624"/>
    <w:rsid w:val="007C2D23"/>
    <w:rsid w:val="007C2F60"/>
    <w:rsid w:val="007C2F71"/>
    <w:rsid w:val="007C335A"/>
    <w:rsid w:val="007C3E71"/>
    <w:rsid w:val="007C3EA8"/>
    <w:rsid w:val="007C41AF"/>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6B58"/>
    <w:rsid w:val="00837381"/>
    <w:rsid w:val="00837645"/>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1E99"/>
    <w:rsid w:val="00872029"/>
    <w:rsid w:val="00872086"/>
    <w:rsid w:val="0087220C"/>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0C8"/>
    <w:rsid w:val="008B529D"/>
    <w:rsid w:val="008B52C4"/>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768C"/>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929"/>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1E0"/>
    <w:rsid w:val="0095041A"/>
    <w:rsid w:val="0095091B"/>
    <w:rsid w:val="00950D30"/>
    <w:rsid w:val="00951291"/>
    <w:rsid w:val="00951584"/>
    <w:rsid w:val="00951DF7"/>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2DE8"/>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7"/>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971"/>
    <w:rsid w:val="009F2B68"/>
    <w:rsid w:val="009F2B99"/>
    <w:rsid w:val="009F3042"/>
    <w:rsid w:val="009F30F6"/>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0CB"/>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1F2"/>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8AE"/>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074"/>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8A1"/>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363"/>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6E0A"/>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EB2"/>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1944"/>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BB4"/>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62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972"/>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343"/>
    <w:rsid w:val="00D9745F"/>
    <w:rsid w:val="00D97889"/>
    <w:rsid w:val="00D97BAE"/>
    <w:rsid w:val="00D97E6E"/>
    <w:rsid w:val="00D97F70"/>
    <w:rsid w:val="00DA058C"/>
    <w:rsid w:val="00DA0AAC"/>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0E"/>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771"/>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0F19"/>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7C8"/>
    <w:rsid w:val="00F279A3"/>
    <w:rsid w:val="00F27EC8"/>
    <w:rsid w:val="00F27F9A"/>
    <w:rsid w:val="00F3053A"/>
    <w:rsid w:val="00F30626"/>
    <w:rsid w:val="00F30993"/>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073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829"/>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65D"/>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59DF"/>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 w:val="5FFABB3F"/>
    <w:rsid w:val="733B0D77"/>
    <w:rsid w:val="7C2B03A9"/>
    <w:rsid w:val="7F57B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8352AA"/>
  <w15:docId w15:val="{31011400-AF2F-4D86-98D2-EDA1FB2E4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index heading" w:semiHidden="1" w:qFormat="1"/>
    <w:lsdException w:name="caption" w:qFormat="1"/>
    <w:lsdException w:name="table of figures" w:semiHidden="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qFormat="1"/>
    <w:lsdException w:name="Body Text 3" w:semiHidden="1"/>
    <w:lsdException w:name="Body Text Indent 2" w:semiHidden="1" w:unhideWhenUsed="1"/>
    <w:lsdException w:name="Body Text Indent 3" w:semiHidden="1"/>
    <w:lsdException w:name="Block Text" w:semiHidden="1" w:unhideWhenUsed="1"/>
    <w:lsdException w:name="Hyperlink" w:uiPriority="99" w:qFormat="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8672F"/>
    <w:pPr>
      <w:widowControl w:val="0"/>
      <w:autoSpaceDE w:val="0"/>
      <w:autoSpaceDN w:val="0"/>
      <w:adjustRightInd w:val="0"/>
      <w:spacing w:line="360" w:lineRule="auto"/>
    </w:pPr>
    <w:rPr>
      <w:rFonts w:eastAsia="宋体"/>
      <w:snapToGrid w:val="0"/>
      <w:sz w:val="21"/>
      <w:szCs w:val="21"/>
    </w:rPr>
  </w:style>
  <w:style w:type="paragraph" w:styleId="1">
    <w:name w:val="heading 1"/>
    <w:next w:val="2"/>
    <w:link w:val="10"/>
    <w:qFormat/>
    <w:rsid w:val="0058672F"/>
    <w:pPr>
      <w:keepNext/>
      <w:numPr>
        <w:numId w:val="20"/>
      </w:numPr>
      <w:spacing w:before="240" w:after="240"/>
      <w:jc w:val="both"/>
      <w:outlineLvl w:val="0"/>
    </w:pPr>
    <w:rPr>
      <w:rFonts w:ascii="Arial" w:eastAsia="黑体" w:hAnsi="Arial"/>
      <w:b/>
      <w:sz w:val="32"/>
      <w:szCs w:val="32"/>
    </w:rPr>
  </w:style>
  <w:style w:type="paragraph" w:styleId="2">
    <w:name w:val="heading 2"/>
    <w:next w:val="a1"/>
    <w:link w:val="20"/>
    <w:qFormat/>
    <w:rsid w:val="0058672F"/>
    <w:pPr>
      <w:keepNext/>
      <w:numPr>
        <w:ilvl w:val="1"/>
        <w:numId w:val="20"/>
      </w:numPr>
      <w:spacing w:before="240" w:after="240"/>
      <w:jc w:val="both"/>
      <w:outlineLvl w:val="1"/>
    </w:pPr>
    <w:rPr>
      <w:rFonts w:ascii="Arial" w:eastAsia="黑体" w:hAnsi="Arial"/>
      <w:sz w:val="24"/>
      <w:szCs w:val="24"/>
    </w:rPr>
  </w:style>
  <w:style w:type="paragraph" w:styleId="3">
    <w:name w:val="heading 3"/>
    <w:basedOn w:val="a1"/>
    <w:next w:val="a1"/>
    <w:link w:val="30"/>
    <w:qFormat/>
    <w:rsid w:val="0058672F"/>
    <w:pPr>
      <w:keepNext/>
      <w:keepLines/>
      <w:numPr>
        <w:ilvl w:val="2"/>
        <w:numId w:val="20"/>
      </w:numPr>
      <w:autoSpaceDE/>
      <w:autoSpaceDN/>
      <w:adjustRightInd/>
      <w:spacing w:before="260" w:after="260" w:line="416" w:lineRule="auto"/>
      <w:jc w:val="both"/>
      <w:outlineLvl w:val="2"/>
    </w:pPr>
    <w:rPr>
      <w:rFonts w:eastAsia="黑体"/>
      <w:bCs/>
      <w:kern w:val="2"/>
      <w:sz w:val="24"/>
      <w:szCs w:val="32"/>
    </w:rPr>
  </w:style>
  <w:style w:type="paragraph" w:styleId="4">
    <w:name w:val="heading 4"/>
    <w:basedOn w:val="3"/>
    <w:next w:val="a1"/>
    <w:link w:val="40"/>
    <w:qFormat/>
    <w:pPr>
      <w:numPr>
        <w:ilvl w:val="3"/>
      </w:numPr>
      <w:outlineLvl w:val="3"/>
    </w:pPr>
  </w:style>
  <w:style w:type="paragraph" w:styleId="5">
    <w:name w:val="heading 5"/>
    <w:basedOn w:val="4"/>
    <w:next w:val="a1"/>
    <w:qFormat/>
    <w:pPr>
      <w:numPr>
        <w:ilvl w:val="0"/>
        <w:numId w:val="0"/>
      </w:numPr>
      <w:outlineLvl w:val="4"/>
    </w:pPr>
    <w:rPr>
      <w:sz w:val="22"/>
    </w:rPr>
  </w:style>
  <w:style w:type="paragraph" w:styleId="6">
    <w:name w:val="heading 6"/>
    <w:basedOn w:val="H6"/>
    <w:next w:val="a1"/>
    <w:qFormat/>
    <w:pPr>
      <w:numPr>
        <w:ilvl w:val="4"/>
        <w:numId w:val="1"/>
      </w:numPr>
      <w:tabs>
        <w:tab w:val="left" w:pos="964"/>
      </w:tabs>
      <w:outlineLvl w:val="5"/>
    </w:pPr>
  </w:style>
  <w:style w:type="paragraph" w:styleId="7">
    <w:name w:val="heading 7"/>
    <w:basedOn w:val="H6"/>
    <w:next w:val="a1"/>
    <w:qFormat/>
    <w:pPr>
      <w:tabs>
        <w:tab w:val="left" w:pos="964"/>
        <w:tab w:val="left"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58672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8672F"/>
  </w:style>
  <w:style w:type="paragraph" w:customStyle="1" w:styleId="H6">
    <w:name w:val="H6"/>
    <w:basedOn w:val="5"/>
    <w:next w:val="a1"/>
    <w:semiHidden/>
    <w:pPr>
      <w:ind w:left="1985" w:hanging="1985"/>
      <w:outlineLvl w:val="9"/>
    </w:pPr>
    <w:rPr>
      <w:sz w:val="20"/>
    </w:rPr>
  </w:style>
  <w:style w:type="paragraph" w:styleId="31">
    <w:name w:val="List 3"/>
    <w:basedOn w:val="21"/>
    <w:semiHidden/>
    <w:pPr>
      <w:ind w:left="1135"/>
    </w:pPr>
  </w:style>
  <w:style w:type="paragraph" w:styleId="21">
    <w:name w:val="List 2"/>
    <w:basedOn w:val="a5"/>
    <w:semiHidden/>
    <w:pPr>
      <w:ind w:left="851"/>
    </w:pPr>
  </w:style>
  <w:style w:type="paragraph" w:styleId="a5">
    <w:name w:val="List"/>
    <w:basedOn w:val="a1"/>
    <w:semiHidden/>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qFormat/>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semiHidden/>
    <w:pPr>
      <w:ind w:left="851"/>
    </w:pPr>
  </w:style>
  <w:style w:type="paragraph" w:styleId="a6">
    <w:name w:val="List Number"/>
    <w:basedOn w:val="a5"/>
    <w:semiHidden/>
  </w:style>
  <w:style w:type="paragraph" w:styleId="41">
    <w:name w:val="List Bullet 4"/>
    <w:basedOn w:val="32"/>
    <w:semiHidden/>
    <w:pPr>
      <w:ind w:left="1418"/>
    </w:pPr>
  </w:style>
  <w:style w:type="paragraph" w:styleId="32">
    <w:name w:val="List Bullet 3"/>
    <w:basedOn w:val="23"/>
    <w:semiHidden/>
    <w:pPr>
      <w:ind w:left="1135"/>
    </w:pPr>
  </w:style>
  <w:style w:type="paragraph" w:styleId="23">
    <w:name w:val="List Bullet 2"/>
    <w:basedOn w:val="a7"/>
    <w:semiHidden/>
    <w:pPr>
      <w:ind w:left="851"/>
    </w:pPr>
  </w:style>
  <w:style w:type="paragraph" w:styleId="a7">
    <w:name w:val="List Bullet"/>
    <w:basedOn w:val="a5"/>
    <w:semiHidden/>
  </w:style>
  <w:style w:type="paragraph" w:styleId="a8">
    <w:name w:val="caption"/>
    <w:basedOn w:val="a1"/>
    <w:next w:val="a1"/>
    <w:link w:val="a9"/>
    <w:qFormat/>
    <w:pPr>
      <w:spacing w:before="120" w:after="120"/>
    </w:pPr>
    <w:rPr>
      <w:b/>
    </w:rPr>
  </w:style>
  <w:style w:type="paragraph" w:styleId="aa">
    <w:name w:val="Document Map"/>
    <w:basedOn w:val="a1"/>
    <w:semiHidden/>
    <w:pPr>
      <w:shd w:val="clear" w:color="auto" w:fill="000080"/>
    </w:pPr>
    <w:rPr>
      <w:rFonts w:ascii="Tahoma" w:hAnsi="Tahoma"/>
    </w:rPr>
  </w:style>
  <w:style w:type="paragraph" w:styleId="ab">
    <w:name w:val="annotation text"/>
    <w:basedOn w:val="a1"/>
    <w:semiHidden/>
    <w:pPr>
      <w:spacing w:line="360" w:lineRule="atLeast"/>
    </w:pPr>
    <w:rPr>
      <w:rFonts w:ascii="Arial" w:eastAsia="–¾’©" w:hAnsi="Arial"/>
      <w:sz w:val="18"/>
    </w:rPr>
  </w:style>
  <w:style w:type="paragraph" w:styleId="33">
    <w:name w:val="Body Text 3"/>
    <w:basedOn w:val="a1"/>
    <w:semiHidden/>
    <w:pPr>
      <w:keepNext/>
      <w:keepLines/>
    </w:pPr>
    <w:rPr>
      <w:rFonts w:eastAsia="Osaka"/>
      <w:color w:val="000000"/>
    </w:rPr>
  </w:style>
  <w:style w:type="paragraph" w:styleId="ac">
    <w:name w:val="Body Text"/>
    <w:basedOn w:val="a1"/>
    <w:link w:val="ad"/>
    <w:rPr>
      <w:rFonts w:eastAsia="MS Mincho"/>
      <w:lang w:eastAsia="en-GB"/>
    </w:rPr>
  </w:style>
  <w:style w:type="paragraph" w:styleId="ae">
    <w:name w:val="Body Text Indent"/>
    <w:basedOn w:val="a1"/>
    <w:semiHidden/>
    <w:pPr>
      <w:ind w:left="210"/>
    </w:pPr>
    <w:rPr>
      <w:snapToGrid/>
    </w:rPr>
  </w:style>
  <w:style w:type="paragraph" w:styleId="af">
    <w:name w:val="Plain Text"/>
    <w:basedOn w:val="a1"/>
    <w:semiHidden/>
    <w:rPr>
      <w:rFonts w:ascii="Courier New" w:hAnsi="Courier New"/>
      <w:lang w:val="nb-NO"/>
    </w:rPr>
  </w:style>
  <w:style w:type="paragraph" w:styleId="50">
    <w:name w:val="List Bullet 5"/>
    <w:basedOn w:val="41"/>
    <w:semiHidden/>
    <w:pPr>
      <w:ind w:left="1702"/>
    </w:pPr>
  </w:style>
  <w:style w:type="paragraph" w:styleId="TOC8">
    <w:name w:val="toc 8"/>
    <w:basedOn w:val="TOC1"/>
    <w:next w:val="a1"/>
    <w:semiHidden/>
    <w:qFormat/>
    <w:pPr>
      <w:spacing w:before="180"/>
      <w:ind w:left="2693" w:hanging="2693"/>
    </w:pPr>
    <w:rPr>
      <w:b/>
    </w:rPr>
  </w:style>
  <w:style w:type="paragraph" w:styleId="af0">
    <w:name w:val="Balloon Text"/>
    <w:basedOn w:val="a1"/>
    <w:link w:val="af1"/>
    <w:rsid w:val="0058672F"/>
    <w:pPr>
      <w:spacing w:line="240" w:lineRule="auto"/>
    </w:pPr>
    <w:rPr>
      <w:sz w:val="18"/>
      <w:szCs w:val="18"/>
    </w:rPr>
  </w:style>
  <w:style w:type="paragraph" w:styleId="af2">
    <w:name w:val="footer"/>
    <w:link w:val="af3"/>
    <w:rsid w:val="0058672F"/>
    <w:pPr>
      <w:tabs>
        <w:tab w:val="center" w:pos="4510"/>
        <w:tab w:val="right" w:pos="9020"/>
      </w:tabs>
    </w:pPr>
    <w:rPr>
      <w:rFonts w:ascii="Arial" w:eastAsia="宋体" w:hAnsi="Arial"/>
      <w:sz w:val="18"/>
      <w:szCs w:val="18"/>
    </w:rPr>
  </w:style>
  <w:style w:type="paragraph" w:styleId="af4">
    <w:name w:val="header"/>
    <w:link w:val="af5"/>
    <w:rsid w:val="0058672F"/>
    <w:pPr>
      <w:tabs>
        <w:tab w:val="center" w:pos="4153"/>
        <w:tab w:val="right" w:pos="8306"/>
      </w:tabs>
      <w:snapToGrid w:val="0"/>
      <w:jc w:val="both"/>
    </w:pPr>
    <w:rPr>
      <w:rFonts w:ascii="Arial" w:eastAsia="宋体" w:hAnsi="Arial"/>
      <w:sz w:val="18"/>
      <w:szCs w:val="18"/>
    </w:rPr>
  </w:style>
  <w:style w:type="paragraph" w:styleId="af6">
    <w:name w:val="index heading"/>
    <w:basedOn w:val="a1"/>
    <w:next w:val="a1"/>
    <w:semiHidden/>
    <w:qFormat/>
    <w:pPr>
      <w:pBdr>
        <w:top w:val="single" w:sz="12" w:space="0" w:color="auto"/>
      </w:pBdr>
      <w:spacing w:before="360" w:after="240"/>
    </w:pPr>
    <w:rPr>
      <w:b/>
      <w:i/>
      <w:sz w:val="26"/>
    </w:rPr>
  </w:style>
  <w:style w:type="paragraph" w:styleId="af7">
    <w:name w:val="footnote text"/>
    <w:basedOn w:val="a1"/>
    <w:semiHidden/>
    <w:pPr>
      <w:keepLines/>
      <w:ind w:left="454" w:hanging="454"/>
    </w:pPr>
    <w:rPr>
      <w:sz w:val="16"/>
    </w:rPr>
  </w:style>
  <w:style w:type="paragraph" w:styleId="51">
    <w:name w:val="List 5"/>
    <w:basedOn w:val="42"/>
    <w:semiHidden/>
    <w:pPr>
      <w:ind w:left="1702"/>
    </w:pPr>
  </w:style>
  <w:style w:type="paragraph" w:styleId="42">
    <w:name w:val="List 4"/>
    <w:basedOn w:val="31"/>
    <w:semiHidden/>
    <w:pPr>
      <w:ind w:left="1418"/>
    </w:pPr>
  </w:style>
  <w:style w:type="paragraph" w:styleId="34">
    <w:name w:val="Body Text Indent 3"/>
    <w:basedOn w:val="a1"/>
    <w:semiHidden/>
    <w:pPr>
      <w:ind w:left="1080"/>
    </w:pPr>
  </w:style>
  <w:style w:type="paragraph" w:styleId="af8">
    <w:name w:val="table of figures"/>
    <w:basedOn w:val="a1"/>
    <w:next w:val="a1"/>
    <w:semiHidden/>
    <w:pPr>
      <w:ind w:left="400" w:hanging="400"/>
      <w:jc w:val="center"/>
    </w:pPr>
    <w:rPr>
      <w:b/>
    </w:rPr>
  </w:style>
  <w:style w:type="paragraph" w:styleId="TOC9">
    <w:name w:val="toc 9"/>
    <w:basedOn w:val="TOC8"/>
    <w:next w:val="a1"/>
    <w:semiHidden/>
    <w:qFormat/>
    <w:pPr>
      <w:ind w:left="1418" w:hanging="1418"/>
    </w:pPr>
  </w:style>
  <w:style w:type="paragraph" w:styleId="24">
    <w:name w:val="Body Text 2"/>
    <w:basedOn w:val="a1"/>
    <w:semiHidden/>
    <w:qFormat/>
    <w:rPr>
      <w:i/>
    </w:rPr>
  </w:style>
  <w:style w:type="paragraph" w:styleId="af9">
    <w:name w:val="Normal (Web)"/>
    <w:basedOn w:val="a1"/>
    <w:uiPriority w:val="99"/>
    <w:semiHidden/>
    <w:unhideWhenUsed/>
    <w:pPr>
      <w:spacing w:before="100" w:beforeAutospacing="1" w:after="100" w:afterAutospacing="1"/>
    </w:pPr>
    <w:rPr>
      <w:rFonts w:ascii="宋体" w:hAnsi="宋体" w:cs="宋体"/>
      <w:sz w:val="24"/>
      <w:szCs w:val="24"/>
    </w:rPr>
  </w:style>
  <w:style w:type="paragraph" w:styleId="11">
    <w:name w:val="index 1"/>
    <w:basedOn w:val="a1"/>
    <w:next w:val="a1"/>
    <w:semiHidden/>
    <w:pPr>
      <w:keepLines/>
    </w:pPr>
  </w:style>
  <w:style w:type="paragraph" w:styleId="25">
    <w:name w:val="index 2"/>
    <w:basedOn w:val="11"/>
    <w:next w:val="a1"/>
    <w:semiHidden/>
    <w:pPr>
      <w:ind w:left="284"/>
    </w:pPr>
  </w:style>
  <w:style w:type="paragraph" w:styleId="afa">
    <w:name w:val="Title"/>
    <w:basedOn w:val="a1"/>
    <w:next w:val="a1"/>
    <w:link w:val="afb"/>
    <w:qFormat/>
    <w:pPr>
      <w:spacing w:before="240" w:after="60"/>
      <w:jc w:val="center"/>
      <w:outlineLvl w:val="0"/>
    </w:pPr>
    <w:rPr>
      <w:rFonts w:ascii="Calibri Light" w:hAnsi="Calibri Light"/>
      <w:b/>
      <w:bCs/>
      <w:sz w:val="32"/>
      <w:szCs w:val="32"/>
    </w:rPr>
  </w:style>
  <w:style w:type="paragraph" w:styleId="afc">
    <w:name w:val="annotation subject"/>
    <w:basedOn w:val="ab"/>
    <w:next w:val="ab"/>
    <w:semiHidden/>
    <w:pPr>
      <w:widowControl/>
      <w:spacing w:line="240" w:lineRule="auto"/>
    </w:pPr>
    <w:rPr>
      <w:rFonts w:ascii="Times New Roman" w:eastAsia="Times New Roman"/>
      <w:b/>
      <w:bCs/>
      <w:sz w:val="20"/>
      <w:lang w:eastAsia="en-GB"/>
    </w:rPr>
  </w:style>
  <w:style w:type="table" w:styleId="afd">
    <w:name w:val="Table Grid"/>
    <w:basedOn w:val="a3"/>
    <w:rsid w:val="0058672F"/>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2"/>
    <w:uiPriority w:val="22"/>
    <w:qFormat/>
    <w:rPr>
      <w:b/>
      <w:bCs/>
    </w:rPr>
  </w:style>
  <w:style w:type="character" w:styleId="aff">
    <w:name w:val="page number"/>
    <w:basedOn w:val="a2"/>
    <w:semiHidden/>
  </w:style>
  <w:style w:type="character" w:styleId="aff0">
    <w:name w:val="FollowedHyperlink"/>
    <w:semiHidden/>
    <w:rPr>
      <w:color w:val="800080"/>
      <w:u w:val="single"/>
    </w:rPr>
  </w:style>
  <w:style w:type="character" w:styleId="aff1">
    <w:name w:val="Emphasis"/>
    <w:basedOn w:val="a2"/>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6"/>
      <w:szCs w:val="16"/>
    </w:rPr>
  </w:style>
  <w:style w:type="character" w:styleId="aff4">
    <w:name w:val="footnote reference"/>
    <w:qFormat/>
    <w:rPr>
      <w:b/>
      <w:position w:val="6"/>
      <w:sz w:val="16"/>
    </w:rPr>
  </w:style>
  <w:style w:type="character" w:customStyle="1" w:styleId="10">
    <w:name w:val="标题 1 字符"/>
    <w:link w:val="1"/>
    <w:qFormat/>
    <w:rPr>
      <w:rFonts w:ascii="Arial" w:eastAsia="黑体" w:hAnsi="Arial"/>
      <w:b/>
      <w:sz w:val="32"/>
      <w:szCs w:val="32"/>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link w:val="2"/>
    <w:qFormat/>
    <w:rPr>
      <w:rFonts w:ascii="Arial" w:eastAsia="黑体" w:hAnsi="Arial"/>
      <w:sz w:val="24"/>
      <w:szCs w:val="24"/>
    </w:rPr>
  </w:style>
  <w:style w:type="character" w:customStyle="1" w:styleId="30">
    <w:name w:val="标题 3 字符"/>
    <w:link w:val="3"/>
    <w:rPr>
      <w:rFonts w:eastAsia="黑体"/>
      <w:bCs/>
      <w:snapToGrid w:val="0"/>
      <w:kern w:val="2"/>
      <w:sz w:val="24"/>
      <w:szCs w:val="32"/>
    </w:rPr>
  </w:style>
  <w:style w:type="character" w:customStyle="1" w:styleId="40">
    <w:name w:val="标题 4 字符"/>
    <w:link w:val="4"/>
    <w:rPr>
      <w:rFonts w:ascii="Arial" w:eastAsia="Arial" w:hAnsi="Arial"/>
      <w:sz w:val="24"/>
      <w:lang w:val="en-GB"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qFormat/>
    <w:pPr>
      <w:keepLines/>
      <w:tabs>
        <w:tab w:val="center" w:pos="4536"/>
        <w:tab w:val="right" w:pos="9072"/>
      </w:tabs>
    </w:pPr>
  </w:style>
  <w:style w:type="character" w:customStyle="1" w:styleId="ZGSM">
    <w:name w:val="ZGSM"/>
    <w:semiHidden/>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1"/>
    <w:semiHidden/>
    <w:qFormat/>
    <w:pPr>
      <w:outlineLvl w:val="9"/>
    </w:pPr>
  </w:style>
  <w:style w:type="paragraph" w:customStyle="1" w:styleId="contribution">
    <w:name w:val="contribution"/>
    <w:basedOn w:val="1"/>
    <w:semiHidden/>
    <w:qFormat/>
    <w:pPr>
      <w:numPr>
        <w:numId w:val="0"/>
      </w:numPr>
      <w:tabs>
        <w:tab w:val="left"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semiHidden/>
    <w:qFormat/>
    <w:pPr>
      <w:jc w:val="right"/>
    </w:pPr>
  </w:style>
  <w:style w:type="paragraph" w:customStyle="1" w:styleId="TAL">
    <w:name w:val="TAL"/>
    <w:basedOn w:val="a1"/>
    <w:link w:val="TALChar"/>
    <w:qFormat/>
    <w:pPr>
      <w:keepNext/>
      <w:keepLines/>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emiHidden/>
  </w:style>
  <w:style w:type="paragraph" w:customStyle="1" w:styleId="EditorsNote">
    <w:name w:val="Editor's Note"/>
    <w:basedOn w:val="NO"/>
    <w:semiHidden/>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ad">
    <w:name w:val="正文文本 字符"/>
    <w:link w:val="ac"/>
    <w:qFormat/>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Pr>
      <w:rFonts w:eastAsia="MS Mincho"/>
      <w:i/>
      <w:color w:val="0000FF"/>
    </w:rPr>
  </w:style>
  <w:style w:type="character" w:customStyle="1" w:styleId="GuidanceChar">
    <w:name w:val="Guidance Char"/>
    <w:link w:val="Guidance"/>
    <w:qFormat/>
    <w:rPr>
      <w:i/>
      <w:color w:val="0000FF"/>
      <w:lang w:val="en-GB" w:eastAsia="en-US" w:bidi="ar-SA"/>
    </w:rPr>
  </w:style>
  <w:style w:type="paragraph" w:customStyle="1" w:styleId="MTDisplayEquation">
    <w:name w:val="MTDisplayEquation"/>
    <w:basedOn w:val="a1"/>
    <w:semiHidden/>
    <w:qFormat/>
    <w:pPr>
      <w:tabs>
        <w:tab w:val="center" w:pos="4820"/>
        <w:tab w:val="right" w:pos="9640"/>
      </w:tabs>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style>
  <w:style w:type="character" w:customStyle="1" w:styleId="Heading4Char">
    <w:name w:val="Heading 4 Char"/>
    <w:link w:val="heading40"/>
    <w:semiHidden/>
    <w:rPr>
      <w:rFonts w:ascii="Arial" w:eastAsia="Arial" w:hAnsi="Arial"/>
      <w:sz w:val="28"/>
      <w:lang w:val="en-GB" w:eastAsia="en-US"/>
    </w:rPr>
  </w:style>
  <w:style w:type="paragraph" w:customStyle="1" w:styleId="aff5">
    <w:name w:val="样式 页眉"/>
    <w:basedOn w:val="af4"/>
    <w:link w:val="Char0"/>
    <w:rPr>
      <w:rFonts w:eastAsia="Arial"/>
      <w:b/>
      <w:bCs/>
      <w:sz w:val="22"/>
    </w:rPr>
  </w:style>
  <w:style w:type="character" w:customStyle="1" w:styleId="af5">
    <w:name w:val="页眉 字符"/>
    <w:link w:val="af4"/>
    <w:rPr>
      <w:rFonts w:ascii="Arial" w:eastAsia="宋体" w:hAnsi="Arial"/>
      <w:sz w:val="18"/>
      <w:szCs w:val="18"/>
    </w:rPr>
  </w:style>
  <w:style w:type="character" w:customStyle="1" w:styleId="Char0">
    <w:name w:val="样式 页眉 Char"/>
    <w:link w:val="aff5"/>
    <w:rPr>
      <w:rFonts w:ascii="Arial" w:eastAsia="Arial" w:hAnsi="Arial"/>
      <w:bCs/>
      <w:sz w:val="22"/>
      <w:lang w:val="en-GB" w:eastAsia="en-US" w:bidi="ar-SA"/>
    </w:rPr>
  </w:style>
  <w:style w:type="paragraph" w:customStyle="1" w:styleId="a0">
    <w:name w:val="表格题注"/>
    <w:next w:val="a1"/>
    <w:rsid w:val="0058672F"/>
    <w:pPr>
      <w:keepLines/>
      <w:numPr>
        <w:ilvl w:val="8"/>
        <w:numId w:val="10"/>
      </w:numPr>
      <w:spacing w:beforeLines="100"/>
      <w:ind w:left="1089" w:hanging="369"/>
      <w:jc w:val="center"/>
    </w:pPr>
    <w:rPr>
      <w:rFonts w:ascii="Arial" w:eastAsia="宋体" w:hAnsi="Arial"/>
      <w:sz w:val="18"/>
      <w:szCs w:val="18"/>
    </w:rPr>
  </w:style>
  <w:style w:type="paragraph" w:customStyle="1" w:styleId="a">
    <w:name w:val="插图题注"/>
    <w:next w:val="a1"/>
    <w:rsid w:val="0058672F"/>
    <w:pPr>
      <w:numPr>
        <w:ilvl w:val="7"/>
        <w:numId w:val="10"/>
      </w:numPr>
      <w:spacing w:afterLines="100"/>
      <w:ind w:left="1089" w:hanging="369"/>
      <w:jc w:val="center"/>
    </w:pPr>
    <w:rPr>
      <w:rFonts w:ascii="Arial" w:eastAsia="宋体" w:hAnsi="Arial"/>
      <w:sz w:val="18"/>
      <w:szCs w:val="18"/>
    </w:rPr>
  </w:style>
  <w:style w:type="character" w:customStyle="1" w:styleId="textbodybold1">
    <w:name w:val="textbodybold1"/>
    <w:rPr>
      <w:rFonts w:ascii="Arial" w:hAnsi="Arial" w:cs="Arial" w:hint="default"/>
      <w:b/>
      <w:bCs/>
      <w:color w:val="902630"/>
      <w:sz w:val="18"/>
      <w:szCs w:val="18"/>
    </w:rPr>
  </w:style>
  <w:style w:type="paragraph" w:customStyle="1" w:styleId="B1">
    <w:name w:val="B1"/>
    <w:basedOn w:val="a5"/>
    <w:link w:val="B1Char"/>
    <w:qFormat/>
  </w:style>
  <w:style w:type="character" w:customStyle="1" w:styleId="B1Char">
    <w:name w:val="B1 Char"/>
    <w:link w:val="B1"/>
    <w:qFormat/>
    <w:rPr>
      <w:rFonts w:eastAsia="宋体"/>
      <w:lang w:val="en-GB" w:eastAsia="en-US" w:bidi="ar-SA"/>
    </w:rPr>
  </w:style>
  <w:style w:type="paragraph" w:customStyle="1" w:styleId="EX">
    <w:name w:val="EX"/>
    <w:basedOn w:val="a1"/>
    <w:qFormat/>
    <w:pPr>
      <w:keepLines/>
      <w:ind w:left="1702" w:hanging="1418"/>
    </w:pPr>
    <w:rPr>
      <w:lang w:eastAsia="ja-JP"/>
    </w:rPr>
  </w:style>
  <w:style w:type="paragraph" w:customStyle="1" w:styleId="CharChar1">
    <w:name w:val="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link w:val="B2Char"/>
    <w:qFormat/>
    <w:rPr>
      <w:rFonts w:eastAsia="MS Mincho"/>
    </w:rPr>
  </w:style>
  <w:style w:type="character" w:customStyle="1" w:styleId="msoins0">
    <w:name w:val="msoins"/>
    <w:basedOn w:val="a2"/>
    <w:qFormat/>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1"/>
    <w:link w:val="B3Char"/>
    <w:rPr>
      <w:snapToGrid/>
      <w:color w:val="000000"/>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qFormat/>
    <w:rPr>
      <w:snapToGrid/>
      <w:color w:val="000000"/>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aff7"/>
    <w:uiPriority w:val="34"/>
    <w:qFormat/>
    <w:rsid w:val="0058672F"/>
    <w:pPr>
      <w:ind w:firstLineChars="200" w:firstLine="420"/>
    </w:pPr>
  </w:style>
  <w:style w:type="paragraph" w:customStyle="1" w:styleId="CRCoverPage">
    <w:name w:val="CR Cover Page"/>
    <w:next w:val="a1"/>
    <w:link w:val="CRCoverPageZchn"/>
    <w:qFormat/>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customStyle="1" w:styleId="12">
    <w:name w:val="修订1"/>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ind w:left="1622" w:hanging="363"/>
    </w:pPr>
    <w:rPr>
      <w:rFonts w:ascii="Arial" w:eastAsia="MS Mincho" w:hAnsi="Arial"/>
      <w:szCs w:val="24"/>
      <w:lang w:val="zh-CN"/>
    </w:rPr>
  </w:style>
  <w:style w:type="paragraph" w:customStyle="1" w:styleId="Comments">
    <w:name w:val="Comments"/>
    <w:basedOn w:val="a1"/>
    <w:link w:val="CommentsChar"/>
    <w:qFormat/>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spacing w:before="60"/>
      <w:ind w:left="1259" w:hanging="1259"/>
    </w:pPr>
    <w:rPr>
      <w:rFonts w:ascii="Arial" w:eastAsia="MS Mincho"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TF">
    <w:name w:val="TF"/>
    <w:basedOn w:val="TH"/>
    <w:link w:val="TFChar"/>
    <w:pPr>
      <w:keepNext w:val="0"/>
      <w:spacing w:before="0" w:after="240"/>
    </w:pPr>
    <w:rPr>
      <w:rFonts w:eastAsia="宋体"/>
    </w:rPr>
  </w:style>
  <w:style w:type="character" w:customStyle="1" w:styleId="B2Car">
    <w:name w:val="B2 Car"/>
    <w:rPr>
      <w:lang w:val="en-GB" w:eastAsia="en-US"/>
    </w:rPr>
  </w:style>
  <w:style w:type="character" w:customStyle="1" w:styleId="af3">
    <w:name w:val="页脚 字符"/>
    <w:link w:val="af2"/>
    <w:rPr>
      <w:rFonts w:ascii="Arial" w:eastAsia="宋体" w:hAnsi="Arial"/>
      <w:sz w:val="18"/>
      <w:szCs w:val="18"/>
    </w:rPr>
  </w:style>
  <w:style w:type="character" w:customStyle="1" w:styleId="a9">
    <w:name w:val="题注 字符"/>
    <w:link w:val="a8"/>
    <w:rPr>
      <w:rFonts w:eastAsia="Times New Roman"/>
      <w:b/>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aff7">
    <w:name w:val="列表段落 字符"/>
    <w:link w:val="aff6"/>
    <w:uiPriority w:val="34"/>
    <w:qFormat/>
    <w:locked/>
    <w:rPr>
      <w:rFonts w:eastAsia="宋体"/>
      <w:snapToGrid w:val="0"/>
      <w:sz w:val="21"/>
      <w:szCs w:val="21"/>
    </w:rPr>
  </w:style>
  <w:style w:type="character" w:customStyle="1" w:styleId="afb">
    <w:name w:val="标题 字符"/>
    <w:link w:val="afa"/>
    <w:rPr>
      <w:rFonts w:ascii="Calibri Light" w:eastAsia="宋体" w:hAnsi="Calibri Light" w:cs="Times New Roman"/>
      <w:b/>
      <w:bCs/>
      <w:sz w:val="32"/>
      <w:szCs w:val="32"/>
      <w:lang w:val="en-GB" w:eastAsia="en-US"/>
    </w:rPr>
  </w:style>
  <w:style w:type="paragraph" w:customStyle="1" w:styleId="Eqn">
    <w:name w:val="Eqn"/>
    <w:basedOn w:val="a1"/>
    <w:qFormat/>
    <w:pPr>
      <w:tabs>
        <w:tab w:val="center" w:pos="4608"/>
        <w:tab w:val="right" w:pos="9216"/>
      </w:tabs>
      <w:snapToGrid w:val="0"/>
      <w:spacing w:after="120"/>
    </w:pPr>
    <w:rPr>
      <w:sz w:val="22"/>
      <w:lang w:eastAsia="ja-JP"/>
    </w:rPr>
  </w:style>
  <w:style w:type="paragraph" w:customStyle="1" w:styleId="References">
    <w:name w:val="References"/>
    <w:basedOn w:val="a1"/>
    <w:pPr>
      <w:numPr>
        <w:numId w:val="4"/>
      </w:numPr>
      <w:snapToGrid w:val="0"/>
      <w:spacing w:after="60"/>
    </w:pPr>
    <w:rPr>
      <w:szCs w:val="16"/>
    </w:rPr>
  </w:style>
  <w:style w:type="table" w:customStyle="1" w:styleId="13">
    <w:name w:val="网格型1"/>
    <w:basedOn w:val="a3"/>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eastAsia="Times New Roman" w:hAnsi="Arial"/>
      <w:sz w:val="18"/>
    </w:rPr>
  </w:style>
  <w:style w:type="paragraph" w:customStyle="1" w:styleId="Agreement">
    <w:name w:val="Agreement"/>
    <w:basedOn w:val="a1"/>
    <w:next w:val="Doc-text2"/>
    <w:uiPriority w:val="99"/>
    <w:qFormat/>
    <w:pPr>
      <w:numPr>
        <w:numId w:val="5"/>
      </w:numPr>
      <w:tabs>
        <w:tab w:val="left" w:pos="1619"/>
      </w:tabs>
      <w:spacing w:before="60"/>
      <w:ind w:left="1616" w:hanging="357"/>
    </w:pPr>
    <w:rPr>
      <w:rFonts w:ascii="Arial" w:hAnsi="Arial"/>
      <w:b/>
      <w:lang w:eastAsia="ja-JP"/>
    </w:rPr>
  </w:style>
  <w:style w:type="paragraph" w:customStyle="1" w:styleId="Doc-comment">
    <w:name w:val="Doc-comment"/>
    <w:basedOn w:val="a1"/>
    <w:next w:val="Doc-text2"/>
    <w:qFormat/>
    <w:pPr>
      <w:tabs>
        <w:tab w:val="left" w:pos="1622"/>
      </w:tabs>
      <w:ind w:left="1622" w:hanging="363"/>
    </w:pPr>
    <w:rPr>
      <w:rFonts w:ascii="Arial" w:hAnsi="Arial"/>
      <w:i/>
      <w:lang w:eastAsia="ja-JP"/>
    </w:rPr>
  </w:style>
  <w:style w:type="character" w:customStyle="1" w:styleId="TFChar">
    <w:name w:val="TF Char"/>
    <w:link w:val="TF"/>
    <w:qFormat/>
    <w:rPr>
      <w:rFonts w:ascii="Arial" w:eastAsia="宋体" w:hAnsi="Arial"/>
      <w:b/>
      <w:lang w:val="en-GB" w:eastAsia="en-US"/>
    </w:rPr>
  </w:style>
  <w:style w:type="character" w:customStyle="1" w:styleId="B1Char1">
    <w:name w:val="B1 Char1"/>
    <w:qFormat/>
    <w:rPr>
      <w:rFonts w:eastAsia="Times New Roman"/>
      <w:lang w:val="en-GB" w:eastAsia="ja-JP"/>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aff8">
    <w:name w:val="表格文本"/>
    <w:rsid w:val="0058672F"/>
    <w:pPr>
      <w:tabs>
        <w:tab w:val="decimal" w:pos="0"/>
      </w:tabs>
    </w:pPr>
    <w:rPr>
      <w:rFonts w:ascii="Arial" w:eastAsia="宋体" w:hAnsi="Arial"/>
      <w:noProof/>
      <w:sz w:val="21"/>
      <w:szCs w:val="21"/>
    </w:rPr>
  </w:style>
  <w:style w:type="paragraph" w:customStyle="1" w:styleId="aff9">
    <w:name w:val="表头文本"/>
    <w:rsid w:val="0058672F"/>
    <w:pPr>
      <w:jc w:val="center"/>
    </w:pPr>
    <w:rPr>
      <w:rFonts w:ascii="Arial" w:eastAsia="宋体" w:hAnsi="Arial"/>
      <w:b/>
      <w:sz w:val="21"/>
      <w:szCs w:val="21"/>
    </w:rPr>
  </w:style>
  <w:style w:type="table" w:customStyle="1" w:styleId="affa">
    <w:name w:val="表样式"/>
    <w:basedOn w:val="a3"/>
    <w:rsid w:val="0058672F"/>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b">
    <w:name w:val="图样式"/>
    <w:basedOn w:val="a1"/>
    <w:rsid w:val="0058672F"/>
    <w:pPr>
      <w:keepNext/>
      <w:widowControl/>
      <w:spacing w:before="80" w:after="80"/>
      <w:jc w:val="center"/>
    </w:pPr>
  </w:style>
  <w:style w:type="paragraph" w:customStyle="1" w:styleId="affc">
    <w:name w:val="文档标题"/>
    <w:basedOn w:val="a1"/>
    <w:rsid w:val="0058672F"/>
    <w:pPr>
      <w:tabs>
        <w:tab w:val="left" w:pos="0"/>
      </w:tabs>
      <w:spacing w:before="300" w:after="300"/>
      <w:jc w:val="center"/>
    </w:pPr>
    <w:rPr>
      <w:rFonts w:ascii="Arial" w:eastAsia="黑体" w:hAnsi="Arial"/>
      <w:sz w:val="36"/>
      <w:szCs w:val="36"/>
    </w:rPr>
  </w:style>
  <w:style w:type="paragraph" w:customStyle="1" w:styleId="affd">
    <w:name w:val="正文（首行不缩进）"/>
    <w:basedOn w:val="a1"/>
    <w:rsid w:val="0058672F"/>
  </w:style>
  <w:style w:type="paragraph" w:customStyle="1" w:styleId="affe">
    <w:name w:val="注示头"/>
    <w:basedOn w:val="a1"/>
    <w:rsid w:val="0058672F"/>
    <w:pPr>
      <w:pBdr>
        <w:top w:val="single" w:sz="4" w:space="1" w:color="000000"/>
      </w:pBdr>
      <w:jc w:val="both"/>
    </w:pPr>
    <w:rPr>
      <w:rFonts w:ascii="Arial" w:eastAsia="黑体" w:hAnsi="Arial"/>
      <w:sz w:val="18"/>
    </w:rPr>
  </w:style>
  <w:style w:type="paragraph" w:customStyle="1" w:styleId="afff">
    <w:name w:val="注示文本"/>
    <w:basedOn w:val="a1"/>
    <w:rsid w:val="0058672F"/>
    <w:pPr>
      <w:pBdr>
        <w:bottom w:val="single" w:sz="4" w:space="1" w:color="000000"/>
      </w:pBdr>
      <w:ind w:firstLine="360"/>
      <w:jc w:val="both"/>
    </w:pPr>
    <w:rPr>
      <w:rFonts w:ascii="Arial" w:eastAsia="楷体_GB2312" w:hAnsi="Arial"/>
      <w:sz w:val="18"/>
      <w:szCs w:val="18"/>
    </w:rPr>
  </w:style>
  <w:style w:type="paragraph" w:customStyle="1" w:styleId="afff0">
    <w:name w:val="编写建议"/>
    <w:basedOn w:val="a1"/>
    <w:rsid w:val="0058672F"/>
    <w:pPr>
      <w:ind w:firstLine="420"/>
    </w:pPr>
    <w:rPr>
      <w:rFonts w:ascii="Arial" w:hAnsi="Arial" w:cs="Arial"/>
      <w:i/>
      <w:color w:val="0000FF"/>
    </w:rPr>
  </w:style>
  <w:style w:type="character" w:customStyle="1" w:styleId="afff1">
    <w:name w:val="样式一"/>
    <w:basedOn w:val="a2"/>
    <w:rsid w:val="0058672F"/>
    <w:rPr>
      <w:rFonts w:ascii="宋体" w:hAnsi="宋体"/>
      <w:b/>
      <w:bCs/>
      <w:color w:val="000000"/>
      <w:sz w:val="36"/>
    </w:rPr>
  </w:style>
  <w:style w:type="character" w:customStyle="1" w:styleId="afff2">
    <w:name w:val="样式二"/>
    <w:basedOn w:val="afff1"/>
    <w:rsid w:val="0058672F"/>
    <w:rPr>
      <w:rFonts w:ascii="宋体" w:hAnsi="宋体"/>
      <w:b/>
      <w:bCs/>
      <w:color w:val="000000"/>
      <w:sz w:val="36"/>
    </w:rPr>
  </w:style>
  <w:style w:type="character" w:customStyle="1" w:styleId="af1">
    <w:name w:val="批注框文本 字符"/>
    <w:basedOn w:val="a2"/>
    <w:link w:val="af0"/>
    <w:rsid w:val="0058672F"/>
    <w:rPr>
      <w:rFonts w:eastAsia="宋体"/>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3159</Words>
  <Characters>18010</Characters>
  <Application>Microsoft Office Word</Application>
  <DocSecurity>0</DocSecurity>
  <Lines>150</Lines>
  <Paragraphs>42</Paragraphs>
  <ScaleCrop>false</ScaleCrop>
  <Company>Huawei Technologies Co.,Ltd.</Company>
  <LinksUpToDate>false</LinksUpToDate>
  <CharactersWithSpaces>21127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Jun</cp:lastModifiedBy>
  <cp:revision>5</cp:revision>
  <cp:lastPrinted>2010-01-07T08:23:00Z</cp:lastPrinted>
  <dcterms:created xsi:type="dcterms:W3CDTF">2022-10-29T01:55:00Z</dcterms:created>
  <dcterms:modified xsi:type="dcterms:W3CDTF">2022-11-04T07:08:00Z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(3)8TQsAA8gYI5hF6RKEkFmQ5M9XCfC0zn03nJSoq7FdJ+V0UC7ttLrO4xwM4K1adG+w6oXfWlI
7WO5LGFlIDnH3atMalMXPPVi8fWUox6yVrQmGraZljq2BSLvAiLWR+d+vtQrlAQcggYnni2w
0+JQxiEgSn+0YKQbcZhEJZRvWQMrwXZM7F4lgVPsv+HZoGBnSJrIf2PVe82W46iYhP0tiH2n
Sq1nzkgn8eaTE7bA5k</vt:lpwstr>
  </property>
  <property fmtid="{D5CDD505-2E9C-101B-9397-08002B2CF9AE}" pid="11" name="_2015_ms_pID_7253431">
    <vt:lpwstr>ZLAVAjcan5u2qVv1oXWUMBm481qzNTomiM/WwU3PHYhUE2m+dZB1/Q
s3dl5SbhHk/5qejd2whBNSJ6SdcppPgOI4H+aGGyGU3w5SS7JgMmMGC6g9va5hbN3+QUqgJE
TqfQX+AVcx4yJQ44etfjhDEZpSy5CUZ4VJcBs8jwVhhO1pmF1Jb574Jz2+0OPdf1bCNfNict
N2sVTqlX/+dsUsbFggwPbpfwRw1sMIYttE3A</vt:lpwstr>
  </property>
  <property fmtid="{D5CDD505-2E9C-101B-9397-08002B2CF9AE}" pid="12" name="_2015_ms_pID_7253432">
    <vt:lpwstr>9GY7AiVL/6+RSl6iWBPgEFfMU20D9DAKZcjN
y/AE6/paaF256CsZfDdb1rVnu5ylEZToxwLrFjtcoIEknAKKKnc=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KSOProductBuildVer">
    <vt:lpwstr>2052-0.0.0.0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1667355972</vt:lpwstr>
  </property>
</Properties>
</file>